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398A7" w14:textId="61C001C4" w:rsidR="00E90E49" w:rsidRPr="00663F19" w:rsidRDefault="00E90E49" w:rsidP="00E35559">
      <w:pPr>
        <w:pStyle w:val="3GPPHeader"/>
        <w:spacing w:after="60"/>
        <w:rPr>
          <w:sz w:val="32"/>
          <w:szCs w:val="32"/>
          <w:highlight w:val="yellow"/>
        </w:rPr>
      </w:pPr>
      <w:r w:rsidRPr="00663F19">
        <w:t>3GPP TSG-RAN WG</w:t>
      </w:r>
      <w:r w:rsidR="0015455E" w:rsidRPr="00663F19">
        <w:t>2</w:t>
      </w:r>
      <w:r w:rsidRPr="00663F19">
        <w:t xml:space="preserve"> </w:t>
      </w:r>
      <w:r w:rsidR="008F1C4E" w:rsidRPr="00663F19">
        <w:t xml:space="preserve">Meeting </w:t>
      </w:r>
      <w:r w:rsidRPr="00663F19">
        <w:t>#</w:t>
      </w:r>
      <w:r w:rsidR="0015455E" w:rsidRPr="00663F19">
        <w:t>111</w:t>
      </w:r>
      <w:r w:rsidRPr="00663F19">
        <w:tab/>
      </w:r>
      <w:r w:rsidRPr="00663F19">
        <w:rPr>
          <w:sz w:val="32"/>
          <w:szCs w:val="32"/>
        </w:rPr>
        <w:t xml:space="preserve">Tdoc </w:t>
      </w:r>
      <w:bookmarkStart w:id="0" w:name="_GoBack"/>
      <w:r w:rsidR="00DF68B7" w:rsidRPr="00DF68B7">
        <w:rPr>
          <w:sz w:val="32"/>
          <w:szCs w:val="32"/>
        </w:rPr>
        <w:t>R2-2007537</w:t>
      </w:r>
      <w:bookmarkEnd w:id="0"/>
    </w:p>
    <w:p w14:paraId="75F40BC4" w14:textId="02CEB149" w:rsidR="00E90E49" w:rsidRPr="00663F19" w:rsidRDefault="0015455E" w:rsidP="00311702">
      <w:pPr>
        <w:pStyle w:val="3GPPHeader"/>
      </w:pPr>
      <w:r w:rsidRPr="00663F19">
        <w:t>E-meeting</w:t>
      </w:r>
      <w:r w:rsidR="0027144F" w:rsidRPr="00663F19">
        <w:t xml:space="preserve">, </w:t>
      </w:r>
      <w:r w:rsidRPr="00663F19">
        <w:t>August</w:t>
      </w:r>
      <w:r w:rsidR="0027144F" w:rsidRPr="00663F19">
        <w:t xml:space="preserve"> </w:t>
      </w:r>
      <w:r w:rsidRPr="00663F19">
        <w:t>17</w:t>
      </w:r>
      <w:r w:rsidR="001D53E7" w:rsidRPr="00663F19">
        <w:t xml:space="preserve">th – </w:t>
      </w:r>
      <w:r w:rsidRPr="00663F19">
        <w:t>28</w:t>
      </w:r>
      <w:r w:rsidR="001D53E7" w:rsidRPr="00663F19">
        <w:t>th</w:t>
      </w:r>
      <w:r w:rsidR="00C37CB2" w:rsidRPr="00663F19">
        <w:t xml:space="preserve"> </w:t>
      </w:r>
      <w:r w:rsidR="0027144F" w:rsidRPr="00663F19">
        <w:t>20</w:t>
      </w:r>
      <w:r w:rsidRPr="00663F19">
        <w:t>20</w:t>
      </w:r>
    </w:p>
    <w:p w14:paraId="2E745AE3" w14:textId="77777777" w:rsidR="00E90E49" w:rsidRPr="00663F19" w:rsidRDefault="00E90E49" w:rsidP="00357380">
      <w:pPr>
        <w:pStyle w:val="3GPPHeader"/>
      </w:pPr>
    </w:p>
    <w:p w14:paraId="40CF7388" w14:textId="7C348993" w:rsidR="00E90E49" w:rsidRPr="00663F19" w:rsidRDefault="00E90E49" w:rsidP="00311702">
      <w:pPr>
        <w:pStyle w:val="3GPPHeader"/>
        <w:rPr>
          <w:sz w:val="22"/>
        </w:rPr>
      </w:pPr>
      <w:r w:rsidRPr="00663F19">
        <w:rPr>
          <w:sz w:val="22"/>
        </w:rPr>
        <w:t>Agenda Item:</w:t>
      </w:r>
      <w:r w:rsidRPr="00663F19">
        <w:rPr>
          <w:sz w:val="22"/>
        </w:rPr>
        <w:tab/>
      </w:r>
      <w:r w:rsidR="0015455E" w:rsidRPr="00663F19">
        <w:rPr>
          <w:sz w:val="22"/>
        </w:rPr>
        <w:t>8</w:t>
      </w:r>
      <w:r w:rsidR="00311702" w:rsidRPr="00663F19">
        <w:rPr>
          <w:sz w:val="22"/>
        </w:rPr>
        <w:t>.</w:t>
      </w:r>
      <w:r w:rsidR="0015455E" w:rsidRPr="00663F19">
        <w:rPr>
          <w:sz w:val="22"/>
        </w:rPr>
        <w:t>10</w:t>
      </w:r>
      <w:r w:rsidR="00311702" w:rsidRPr="00663F19">
        <w:rPr>
          <w:sz w:val="22"/>
        </w:rPr>
        <w:t>.</w:t>
      </w:r>
      <w:r w:rsidR="0015455E" w:rsidRPr="00663F19">
        <w:rPr>
          <w:sz w:val="22"/>
        </w:rPr>
        <w:t>1</w:t>
      </w:r>
    </w:p>
    <w:p w14:paraId="719003AB" w14:textId="77777777" w:rsidR="00E90E49" w:rsidRPr="00663F19" w:rsidRDefault="003D3C45" w:rsidP="00F64C2B">
      <w:pPr>
        <w:pStyle w:val="3GPPHeader"/>
        <w:rPr>
          <w:sz w:val="22"/>
        </w:rPr>
      </w:pPr>
      <w:r w:rsidRPr="00663F19">
        <w:rPr>
          <w:sz w:val="22"/>
        </w:rPr>
        <w:t>Source:</w:t>
      </w:r>
      <w:r w:rsidR="00E90E49" w:rsidRPr="00663F19">
        <w:rPr>
          <w:sz w:val="22"/>
        </w:rPr>
        <w:tab/>
      </w:r>
      <w:r w:rsidR="00F64C2B" w:rsidRPr="00663F19">
        <w:rPr>
          <w:sz w:val="22"/>
        </w:rPr>
        <w:t>Ericsson</w:t>
      </w:r>
    </w:p>
    <w:p w14:paraId="3CE99A1A" w14:textId="0B1BB44A" w:rsidR="00E90E49" w:rsidRPr="00663F19" w:rsidRDefault="003D3C45" w:rsidP="00311702">
      <w:pPr>
        <w:pStyle w:val="3GPPHeader"/>
        <w:rPr>
          <w:sz w:val="22"/>
        </w:rPr>
      </w:pPr>
      <w:r w:rsidRPr="00663F19">
        <w:rPr>
          <w:sz w:val="22"/>
        </w:rPr>
        <w:t>Title:</w:t>
      </w:r>
      <w:r w:rsidR="00E90E49" w:rsidRPr="00663F19">
        <w:rPr>
          <w:sz w:val="22"/>
        </w:rPr>
        <w:tab/>
      </w:r>
      <w:r w:rsidR="0015455E" w:rsidRPr="00663F19">
        <w:rPr>
          <w:sz w:val="22"/>
        </w:rPr>
        <w:t>NTN</w:t>
      </w:r>
      <w:r w:rsidR="002A2A3F" w:rsidRPr="00663F19">
        <w:rPr>
          <w:sz w:val="22"/>
        </w:rPr>
        <w:t xml:space="preserve"> </w:t>
      </w:r>
      <w:r w:rsidR="00772B62" w:rsidRPr="00663F19">
        <w:rPr>
          <w:sz w:val="22"/>
        </w:rPr>
        <w:t>s</w:t>
      </w:r>
      <w:r w:rsidR="0015455E" w:rsidRPr="00663F19">
        <w:rPr>
          <w:sz w:val="22"/>
        </w:rPr>
        <w:t>cope, scenarios, architecture</w:t>
      </w:r>
      <w:r w:rsidR="0042414C" w:rsidRPr="00663F19">
        <w:rPr>
          <w:sz w:val="22"/>
        </w:rPr>
        <w:t>, and requirements</w:t>
      </w:r>
    </w:p>
    <w:p w14:paraId="1C58528E" w14:textId="5C8DA81A" w:rsidR="00E90E49" w:rsidRPr="0015455E" w:rsidRDefault="00E90E49" w:rsidP="0015455E">
      <w:pPr>
        <w:pStyle w:val="3GPPHeader"/>
        <w:rPr>
          <w:sz w:val="22"/>
        </w:rPr>
      </w:pPr>
      <w:r w:rsidRPr="00CE0424">
        <w:rPr>
          <w:sz w:val="22"/>
        </w:rPr>
        <w:t>Document for:</w:t>
      </w:r>
      <w:r w:rsidRPr="00CE0424">
        <w:rPr>
          <w:sz w:val="22"/>
        </w:rPr>
        <w:tab/>
      </w:r>
      <w:r w:rsidRPr="0015455E">
        <w:rPr>
          <w:sz w:val="22"/>
        </w:rPr>
        <w:t>Discussion, Decision</w:t>
      </w:r>
    </w:p>
    <w:p w14:paraId="0363E309" w14:textId="77777777" w:rsidR="00E90E49" w:rsidRPr="00CE0424" w:rsidRDefault="00230D18" w:rsidP="00CE0424">
      <w:pPr>
        <w:pStyle w:val="Heading1"/>
      </w:pPr>
      <w:r>
        <w:t>1</w:t>
      </w:r>
      <w:r>
        <w:tab/>
      </w:r>
      <w:r w:rsidR="00E90E49" w:rsidRPr="00CE0424">
        <w:t>Introduction</w:t>
      </w:r>
    </w:p>
    <w:p w14:paraId="25899144" w14:textId="6A32EE41" w:rsidR="002A2A3F" w:rsidRPr="00663F19" w:rsidRDefault="002A2A3F" w:rsidP="00CE0424">
      <w:pPr>
        <w:pStyle w:val="BodyText"/>
      </w:pPr>
      <w:r w:rsidRPr="00663F19">
        <w:t xml:space="preserve">A new </w:t>
      </w:r>
      <w:r w:rsidR="0015455E" w:rsidRPr="00663F19">
        <w:t>W</w:t>
      </w:r>
      <w:r w:rsidRPr="00663F19">
        <w:t xml:space="preserve">I on </w:t>
      </w:r>
      <w:r w:rsidR="0015455E" w:rsidRPr="00663F19">
        <w:t>solutions for NR to support non-terrestrial networks (NTN)</w:t>
      </w:r>
      <w:r w:rsidRPr="00663F19">
        <w:t xml:space="preserve"> was approved at RAN#86</w:t>
      </w:r>
      <w:r w:rsidR="0015455E" w:rsidRPr="00663F19">
        <w:t xml:space="preserve">, with an updated WID approved at RAN#88 </w:t>
      </w:r>
      <w:r w:rsidR="0015455E">
        <w:fldChar w:fldCharType="begin"/>
      </w:r>
      <w:r w:rsidR="0015455E" w:rsidRPr="00663F19">
        <w:instrText xml:space="preserve"> REF _Ref45286859 \r \h </w:instrText>
      </w:r>
      <w:r w:rsidR="0015455E">
        <w:fldChar w:fldCharType="separate"/>
      </w:r>
      <w:r w:rsidR="00040CB3" w:rsidRPr="00663F19">
        <w:t>[1]</w:t>
      </w:r>
      <w:r w:rsidR="0015455E">
        <w:fldChar w:fldCharType="end"/>
      </w:r>
      <w:r w:rsidR="0015455E" w:rsidRPr="00663F19">
        <w:t>.</w:t>
      </w:r>
      <w:r w:rsidR="00672C9A" w:rsidRPr="00663F19">
        <w:t xml:space="preserve"> </w:t>
      </w:r>
      <w:r w:rsidRPr="00663F19">
        <w:t xml:space="preserve">In this contribution, we provide an overview of </w:t>
      </w:r>
      <w:r w:rsidR="00672C9A" w:rsidRPr="00663F19">
        <w:t>NTN scope</w:t>
      </w:r>
      <w:r w:rsidR="0042414C" w:rsidRPr="00663F19">
        <w:t xml:space="preserve">, </w:t>
      </w:r>
      <w:r w:rsidR="00672C9A" w:rsidRPr="00663F19">
        <w:t>scenarios, architecture</w:t>
      </w:r>
      <w:r w:rsidR="0042414C" w:rsidRPr="00663F19">
        <w:t>, and requirements</w:t>
      </w:r>
      <w:r w:rsidR="00672C9A" w:rsidRPr="00663F19">
        <w:t>.</w:t>
      </w:r>
    </w:p>
    <w:p w14:paraId="4C9C8AB3" w14:textId="77777777" w:rsidR="004000E8" w:rsidRPr="00CE0424" w:rsidRDefault="00230D18" w:rsidP="00CE0424">
      <w:pPr>
        <w:pStyle w:val="Heading1"/>
      </w:pPr>
      <w:bookmarkStart w:id="1" w:name="_Ref178064866"/>
      <w:r>
        <w:t>2</w:t>
      </w:r>
      <w:r>
        <w:tab/>
      </w:r>
      <w:r w:rsidR="004000E8" w:rsidRPr="00CE0424">
        <w:t>Discussion</w:t>
      </w:r>
      <w:bookmarkEnd w:id="1"/>
    </w:p>
    <w:p w14:paraId="2C81E605" w14:textId="2F7DE259" w:rsidR="00F63950" w:rsidRDefault="00230D18" w:rsidP="00F63950">
      <w:pPr>
        <w:pStyle w:val="Heading2"/>
      </w:pPr>
      <w:r>
        <w:t>2.1</w:t>
      </w:r>
      <w:r>
        <w:tab/>
      </w:r>
      <w:r w:rsidR="005A6410">
        <w:t>Scope</w:t>
      </w:r>
      <w:r w:rsidR="007F490B">
        <w:t xml:space="preserve">, </w:t>
      </w:r>
      <w:r w:rsidR="005A6410">
        <w:t>s</w:t>
      </w:r>
      <w:r w:rsidR="007E70B1">
        <w:t>cenarios</w:t>
      </w:r>
      <w:r w:rsidR="007F490B">
        <w:t>, and architecture</w:t>
      </w:r>
    </w:p>
    <w:p w14:paraId="626838B9" w14:textId="684B2BFF" w:rsidR="0042414C" w:rsidRDefault="000963FB" w:rsidP="008526D4">
      <w:pPr>
        <w:jc w:val="both"/>
        <w:rPr>
          <w:rFonts w:ascii="Arial" w:hAnsi="Arial" w:cs="Arial"/>
          <w:lang w:eastAsia="ja-JP"/>
        </w:rPr>
      </w:pPr>
      <w:r w:rsidRPr="00663F19">
        <w:rPr>
          <w:rFonts w:ascii="Arial" w:hAnsi="Arial" w:cs="Arial"/>
          <w:lang w:eastAsia="ja-JP"/>
        </w:rPr>
        <w:t xml:space="preserve">Reference scenarios have been heavily discussed in Rel-16 and captured in TR 38.821 </w:t>
      </w:r>
      <w:r>
        <w:rPr>
          <w:rFonts w:ascii="Arial" w:hAnsi="Arial" w:cs="Arial"/>
          <w:lang w:eastAsia="ja-JP"/>
        </w:rPr>
        <w:fldChar w:fldCharType="begin"/>
      </w:r>
      <w:r w:rsidRPr="00663F19">
        <w:rPr>
          <w:rFonts w:ascii="Arial" w:hAnsi="Arial" w:cs="Arial"/>
          <w:lang w:eastAsia="ja-JP"/>
        </w:rPr>
        <w:instrText xml:space="preserve"> REF _Ref45301066 \r \h </w:instrText>
      </w:r>
      <w:r>
        <w:rPr>
          <w:rFonts w:ascii="Arial" w:hAnsi="Arial" w:cs="Arial"/>
          <w:lang w:eastAsia="ja-JP"/>
        </w:rPr>
      </w:r>
      <w:r>
        <w:rPr>
          <w:rFonts w:ascii="Arial" w:hAnsi="Arial" w:cs="Arial"/>
          <w:lang w:eastAsia="ja-JP"/>
        </w:rPr>
        <w:fldChar w:fldCharType="separate"/>
      </w:r>
      <w:r w:rsidR="00040CB3" w:rsidRPr="00663F19">
        <w:rPr>
          <w:rFonts w:ascii="Arial" w:hAnsi="Arial" w:cs="Arial"/>
          <w:lang w:eastAsia="ja-JP"/>
        </w:rPr>
        <w:t>[2]</w:t>
      </w:r>
      <w:r>
        <w:rPr>
          <w:rFonts w:ascii="Arial" w:hAnsi="Arial" w:cs="Arial"/>
          <w:lang w:eastAsia="ja-JP"/>
        </w:rPr>
        <w:fldChar w:fldCharType="end"/>
      </w:r>
      <w:r w:rsidRPr="00663F19">
        <w:rPr>
          <w:rFonts w:ascii="Arial" w:hAnsi="Arial" w:cs="Arial"/>
          <w:lang w:eastAsia="ja-JP"/>
        </w:rPr>
        <w:t xml:space="preserve">. </w:t>
      </w:r>
      <w:r>
        <w:rPr>
          <w:rFonts w:ascii="Arial" w:hAnsi="Arial" w:cs="Arial"/>
          <w:lang w:eastAsia="ja-JP"/>
        </w:rPr>
        <w:t>In Rel-17, though it is not necessary to discuss the details again</w:t>
      </w:r>
      <w:r w:rsidR="00CE2D6A">
        <w:rPr>
          <w:rFonts w:ascii="Arial" w:hAnsi="Arial" w:cs="Arial"/>
          <w:lang w:eastAsia="ja-JP"/>
        </w:rPr>
        <w:t>.</w:t>
      </w:r>
      <w:r>
        <w:rPr>
          <w:rFonts w:ascii="Arial" w:hAnsi="Arial" w:cs="Arial"/>
          <w:lang w:eastAsia="ja-JP"/>
        </w:rPr>
        <w:t xml:space="preserve"> </w:t>
      </w:r>
      <w:r w:rsidR="00CE2D6A">
        <w:rPr>
          <w:rFonts w:ascii="Arial" w:hAnsi="Arial" w:cs="Arial"/>
          <w:lang w:eastAsia="ja-JP"/>
        </w:rPr>
        <w:t xml:space="preserve">Instead, </w:t>
      </w:r>
      <w:r>
        <w:rPr>
          <w:rFonts w:ascii="Arial" w:hAnsi="Arial" w:cs="Arial"/>
          <w:lang w:eastAsia="ja-JP"/>
        </w:rPr>
        <w:t xml:space="preserve">it is beneficial to </w:t>
      </w:r>
      <w:r w:rsidR="006B2E8A">
        <w:rPr>
          <w:rFonts w:ascii="Arial" w:hAnsi="Arial" w:cs="Arial"/>
          <w:lang w:eastAsia="ja-JP"/>
        </w:rPr>
        <w:t xml:space="preserve">identify and </w:t>
      </w:r>
      <w:r>
        <w:rPr>
          <w:rFonts w:ascii="Arial" w:hAnsi="Arial" w:cs="Arial"/>
          <w:lang w:eastAsia="ja-JP"/>
        </w:rPr>
        <w:t xml:space="preserve">explicitly agree on key system assumptions that are needed </w:t>
      </w:r>
      <w:r w:rsidR="00AD7140">
        <w:rPr>
          <w:rFonts w:ascii="Arial" w:hAnsi="Arial" w:cs="Arial"/>
          <w:lang w:eastAsia="ja-JP"/>
        </w:rPr>
        <w:t xml:space="preserve">for determining the detailed design. </w:t>
      </w:r>
    </w:p>
    <w:p w14:paraId="73060BC3" w14:textId="4613EE71" w:rsidR="008526D4" w:rsidRPr="006B2E8A" w:rsidRDefault="0042414C" w:rsidP="006B2E8A">
      <w:pPr>
        <w:jc w:val="both"/>
        <w:rPr>
          <w:rFonts w:ascii="Arial" w:hAnsi="Arial" w:cs="Arial"/>
          <w:lang w:eastAsia="ja-JP"/>
        </w:rPr>
      </w:pPr>
      <w:r w:rsidRPr="00663F19">
        <w:rPr>
          <w:rFonts w:ascii="Arial" w:hAnsi="Arial" w:cs="Arial"/>
          <w:lang w:eastAsia="ja-JP"/>
        </w:rPr>
        <w:t xml:space="preserve">Note that the updated WID </w:t>
      </w:r>
      <w:r>
        <w:rPr>
          <w:rFonts w:ascii="Arial" w:hAnsi="Arial" w:cs="Arial"/>
          <w:lang w:eastAsia="ja-JP"/>
        </w:rPr>
        <w:fldChar w:fldCharType="begin"/>
      </w:r>
      <w:r w:rsidRPr="00663F19">
        <w:rPr>
          <w:rFonts w:ascii="Arial" w:hAnsi="Arial" w:cs="Arial"/>
          <w:lang w:eastAsia="ja-JP"/>
        </w:rPr>
        <w:instrText xml:space="preserve"> REF _Ref45286859 \r \h </w:instrText>
      </w:r>
      <w:r>
        <w:rPr>
          <w:rFonts w:ascii="Arial" w:hAnsi="Arial" w:cs="Arial"/>
          <w:lang w:eastAsia="ja-JP"/>
        </w:rPr>
      </w:r>
      <w:r>
        <w:rPr>
          <w:rFonts w:ascii="Arial" w:hAnsi="Arial" w:cs="Arial"/>
          <w:lang w:eastAsia="ja-JP"/>
        </w:rPr>
        <w:fldChar w:fldCharType="separate"/>
      </w:r>
      <w:r w:rsidR="00040CB3" w:rsidRPr="00663F19">
        <w:rPr>
          <w:rFonts w:ascii="Arial" w:hAnsi="Arial" w:cs="Arial"/>
          <w:lang w:eastAsia="ja-JP"/>
        </w:rPr>
        <w:t>[1]</w:t>
      </w:r>
      <w:r>
        <w:rPr>
          <w:rFonts w:ascii="Arial" w:hAnsi="Arial" w:cs="Arial"/>
          <w:lang w:eastAsia="ja-JP"/>
        </w:rPr>
        <w:fldChar w:fldCharType="end"/>
      </w:r>
      <w:r w:rsidRPr="00663F19">
        <w:rPr>
          <w:rFonts w:ascii="Arial" w:hAnsi="Arial" w:cs="Arial"/>
          <w:lang w:eastAsia="ja-JP"/>
        </w:rPr>
        <w:t xml:space="preserve"> has made it clear that the focuses are </w:t>
      </w:r>
      <w:r w:rsidR="00237B86">
        <w:rPr>
          <w:rFonts w:ascii="Arial" w:hAnsi="Arial" w:cs="Arial"/>
          <w:lang w:eastAsia="ja-JP"/>
        </w:rPr>
        <w:t xml:space="preserve">FDD and that it is assumed </w:t>
      </w:r>
      <w:r w:rsidR="00F451FF">
        <w:rPr>
          <w:rFonts w:ascii="Arial" w:hAnsi="Arial" w:cs="Arial"/>
          <w:lang w:eastAsia="ja-JP"/>
        </w:rPr>
        <w:t xml:space="preserve">that </w:t>
      </w:r>
      <w:r w:rsidR="00237B86">
        <w:rPr>
          <w:rFonts w:ascii="Arial" w:hAnsi="Arial" w:cs="Arial"/>
          <w:lang w:eastAsia="ja-JP"/>
        </w:rPr>
        <w:t>U</w:t>
      </w:r>
      <w:r w:rsidR="00F451FF">
        <w:rPr>
          <w:rFonts w:ascii="Arial" w:hAnsi="Arial" w:cs="Arial"/>
          <w:lang w:eastAsia="ja-JP"/>
        </w:rPr>
        <w:t xml:space="preserve">Es </w:t>
      </w:r>
      <w:r w:rsidR="007324FE">
        <w:rPr>
          <w:rFonts w:ascii="Arial" w:hAnsi="Arial" w:cs="Arial"/>
          <w:lang w:eastAsia="ja-JP"/>
        </w:rPr>
        <w:t xml:space="preserve"> have GNSS capabilities. </w:t>
      </w:r>
      <w:r w:rsidRPr="006B2E8A">
        <w:rPr>
          <w:rFonts w:ascii="Arial" w:hAnsi="Arial" w:cs="Arial"/>
          <w:lang w:eastAsia="ja-JP"/>
        </w:rPr>
        <w:t>The following discussion</w:t>
      </w:r>
      <w:r w:rsidR="001037E0" w:rsidRPr="006B2E8A">
        <w:rPr>
          <w:rFonts w:ascii="Arial" w:hAnsi="Arial" w:cs="Arial"/>
          <w:lang w:eastAsia="ja-JP"/>
        </w:rPr>
        <w:t xml:space="preserve"> further presents our general views on scope and scenarios.</w:t>
      </w:r>
      <w:r w:rsidRPr="006B2E8A">
        <w:rPr>
          <w:rFonts w:ascii="Arial" w:hAnsi="Arial" w:cs="Arial"/>
          <w:lang w:eastAsia="ja-JP"/>
        </w:rPr>
        <w:t xml:space="preserve">  </w:t>
      </w:r>
    </w:p>
    <w:p w14:paraId="3F6BD142" w14:textId="7D2A230B" w:rsidR="00AD7140" w:rsidRDefault="00AD7140" w:rsidP="00AD7140">
      <w:pPr>
        <w:pStyle w:val="Heading3"/>
        <w:rPr>
          <w:rFonts w:cs="Arial"/>
        </w:rPr>
      </w:pPr>
      <w:r>
        <w:t>2.1.1</w:t>
      </w:r>
      <w:r>
        <w:tab/>
      </w:r>
      <w:r>
        <w:rPr>
          <w:rFonts w:cs="Arial"/>
        </w:rPr>
        <w:t>LEO vs. GEO</w:t>
      </w:r>
    </w:p>
    <w:p w14:paraId="16B41E43" w14:textId="798A0151" w:rsidR="000143C1" w:rsidRDefault="00AD7140" w:rsidP="00447DCB">
      <w:pPr>
        <w:jc w:val="both"/>
        <w:rPr>
          <w:rFonts w:ascii="Arial" w:hAnsi="Arial" w:cs="Arial"/>
          <w:lang w:eastAsia="ja-JP"/>
        </w:rPr>
      </w:pPr>
      <w:r w:rsidRPr="00AD7140">
        <w:rPr>
          <w:rFonts w:ascii="Arial" w:hAnsi="Arial" w:cs="Arial"/>
          <w:lang w:eastAsia="ja-JP"/>
        </w:rPr>
        <w:t xml:space="preserve">During the last couple of years, a set of prominent LEO networks have been proposed. These proposals feature using large LEO constellations with thousands of LEO satellites to provide global broadband access. </w:t>
      </w:r>
      <w:r>
        <w:rPr>
          <w:rFonts w:ascii="Arial" w:hAnsi="Arial" w:cs="Arial"/>
          <w:lang w:eastAsia="ja-JP"/>
        </w:rPr>
        <w:t xml:space="preserve">For GEO networks, </w:t>
      </w:r>
      <w:r w:rsidR="00447DCB">
        <w:rPr>
          <w:rFonts w:ascii="Arial" w:hAnsi="Arial" w:cs="Arial"/>
          <w:lang w:eastAsia="ja-JP"/>
        </w:rPr>
        <w:t xml:space="preserve">the communications techniques used are mature. GEO satellites also have very long lifespan (~20 years). The need of evolving NR to support GEO NTNs is less urgent than LEO NTNs. </w:t>
      </w:r>
      <w:r w:rsidR="00306360">
        <w:rPr>
          <w:rFonts w:ascii="Arial" w:hAnsi="Arial" w:cs="Arial"/>
          <w:lang w:eastAsia="ja-JP"/>
        </w:rPr>
        <w:t xml:space="preserve">Furher, </w:t>
      </w:r>
      <w:r w:rsidR="00FA4722">
        <w:rPr>
          <w:rFonts w:ascii="Arial" w:hAnsi="Arial" w:cs="Arial"/>
          <w:lang w:eastAsia="ja-JP"/>
        </w:rPr>
        <w:t xml:space="preserve">LEO NTN seems to need more discussion on specification </w:t>
      </w:r>
      <w:r w:rsidR="00872FB3">
        <w:rPr>
          <w:rFonts w:ascii="Arial" w:hAnsi="Arial" w:cs="Arial"/>
          <w:lang w:eastAsia="ja-JP"/>
        </w:rPr>
        <w:t>changes and many changes that are done for LEO apply also for NTN GEO</w:t>
      </w:r>
      <w:r w:rsidR="005B43E6">
        <w:rPr>
          <w:rFonts w:ascii="Arial" w:hAnsi="Arial" w:cs="Arial"/>
          <w:lang w:eastAsia="ja-JP"/>
        </w:rPr>
        <w:t xml:space="preserve">. For example most user plane </w:t>
      </w:r>
      <w:r w:rsidR="00B24C1A">
        <w:rPr>
          <w:rFonts w:ascii="Arial" w:hAnsi="Arial" w:cs="Arial"/>
          <w:lang w:eastAsia="ja-JP"/>
        </w:rPr>
        <w:t xml:space="preserve">discussions to take into acocunt longer RTT are valid for both LEO and GEO. </w:t>
      </w:r>
      <w:r w:rsidR="00447DCB">
        <w:rPr>
          <w:rFonts w:ascii="Arial" w:hAnsi="Arial" w:cs="Arial"/>
          <w:lang w:eastAsia="ja-JP"/>
        </w:rPr>
        <w:t>Therefore, it appears sensible to prioritize LEO NTNs in Rel-17 WI.</w:t>
      </w:r>
    </w:p>
    <w:p w14:paraId="1EB735B4" w14:textId="16F9AA69" w:rsidR="00447DCB" w:rsidRDefault="00447DCB" w:rsidP="00447DCB">
      <w:pPr>
        <w:pStyle w:val="Proposal"/>
      </w:pPr>
      <w:bookmarkStart w:id="2" w:name="_Toc47626592"/>
      <w:r>
        <w:t xml:space="preserve">Rel-17 NR NTN WI </w:t>
      </w:r>
      <w:r w:rsidR="00BF65CA">
        <w:t xml:space="preserve">to </w:t>
      </w:r>
      <w:r>
        <w:t xml:space="preserve">prioritize </w:t>
      </w:r>
      <w:r w:rsidR="004E319F">
        <w:t xml:space="preserve">discussing solutions for </w:t>
      </w:r>
      <w:r>
        <w:t>LEO NTNs.</w:t>
      </w:r>
      <w:bookmarkEnd w:id="2"/>
      <w:r>
        <w:t xml:space="preserve"> </w:t>
      </w:r>
    </w:p>
    <w:p w14:paraId="030B4F39" w14:textId="167BD198" w:rsidR="000143C1" w:rsidRDefault="000143C1" w:rsidP="000143C1">
      <w:pPr>
        <w:pStyle w:val="Proposal"/>
        <w:numPr>
          <w:ilvl w:val="0"/>
          <w:numId w:val="0"/>
        </w:numPr>
        <w:ind w:left="1701" w:hanging="1701"/>
      </w:pPr>
    </w:p>
    <w:p w14:paraId="27247AF4" w14:textId="77777777" w:rsidR="003532C9" w:rsidRPr="00447DCB" w:rsidRDefault="003532C9" w:rsidP="000143C1">
      <w:pPr>
        <w:pStyle w:val="Proposal"/>
        <w:numPr>
          <w:ilvl w:val="0"/>
          <w:numId w:val="0"/>
        </w:numPr>
        <w:ind w:left="1701" w:hanging="1701"/>
      </w:pPr>
    </w:p>
    <w:p w14:paraId="392FA840" w14:textId="23D3A5C2" w:rsidR="00447DCB" w:rsidRDefault="00447DCB" w:rsidP="00447DCB">
      <w:pPr>
        <w:pStyle w:val="Heading3"/>
        <w:rPr>
          <w:rFonts w:cs="Arial"/>
        </w:rPr>
      </w:pPr>
      <w:r>
        <w:lastRenderedPageBreak/>
        <w:t>2.1.2</w:t>
      </w:r>
      <w:r>
        <w:tab/>
        <w:t xml:space="preserve">Earth fixed cells vs. </w:t>
      </w:r>
      <w:r w:rsidR="005E1238">
        <w:t>E</w:t>
      </w:r>
      <w:r>
        <w:t>arth moving cells</w:t>
      </w:r>
    </w:p>
    <w:p w14:paraId="5C52C1E1" w14:textId="2CDC26A8" w:rsidR="00BB0257" w:rsidRPr="00EB6DCE" w:rsidRDefault="0042414C" w:rsidP="00447DCB">
      <w:pPr>
        <w:jc w:val="both"/>
        <w:rPr>
          <w:rFonts w:ascii="Arial" w:hAnsi="Arial" w:cs="Arial"/>
          <w:lang w:eastAsia="ja-JP"/>
        </w:rPr>
      </w:pPr>
      <w:r>
        <w:rPr>
          <w:rFonts w:ascii="Arial" w:hAnsi="Arial" w:cs="Arial"/>
          <w:lang w:eastAsia="ja-JP"/>
        </w:rPr>
        <w:t>Earth m</w:t>
      </w:r>
      <w:r w:rsidR="00447DCB">
        <w:rPr>
          <w:rFonts w:ascii="Arial" w:hAnsi="Arial" w:cs="Arial"/>
          <w:lang w:eastAsia="ja-JP"/>
        </w:rPr>
        <w:t xml:space="preserve">oving cells were heavily discussed in Rel-16, while earth </w:t>
      </w:r>
      <w:r>
        <w:rPr>
          <w:rFonts w:ascii="Arial" w:hAnsi="Arial" w:cs="Arial"/>
          <w:lang w:eastAsia="ja-JP"/>
        </w:rPr>
        <w:t>fixed</w:t>
      </w:r>
      <w:r w:rsidR="00447DCB">
        <w:rPr>
          <w:rFonts w:ascii="Arial" w:hAnsi="Arial" w:cs="Arial"/>
          <w:lang w:eastAsia="ja-JP"/>
        </w:rPr>
        <w:t xml:space="preserve"> cells were briefly treated </w:t>
      </w:r>
      <w:r w:rsidR="00BB0257">
        <w:rPr>
          <w:rFonts w:ascii="Arial" w:hAnsi="Arial" w:cs="Arial"/>
          <w:lang w:eastAsia="ja-JP"/>
        </w:rPr>
        <w:t xml:space="preserve">towards the end of Rel-16. Earth fixed cells appear to be a more friendly scenario in terms of </w:t>
      </w:r>
      <w:r>
        <w:rPr>
          <w:rFonts w:ascii="Arial" w:hAnsi="Arial" w:cs="Arial"/>
          <w:lang w:eastAsia="ja-JP"/>
        </w:rPr>
        <w:t xml:space="preserve">radio </w:t>
      </w:r>
      <w:r w:rsidR="00BB0257">
        <w:rPr>
          <w:rFonts w:ascii="Arial" w:hAnsi="Arial" w:cs="Arial"/>
          <w:lang w:eastAsia="ja-JP"/>
        </w:rPr>
        <w:t xml:space="preserve">interface design. </w:t>
      </w:r>
      <w:r w:rsidR="00BB0257" w:rsidRPr="00663F19">
        <w:rPr>
          <w:rFonts w:ascii="Arial" w:hAnsi="Arial" w:cs="Arial"/>
          <w:lang w:eastAsia="ja-JP"/>
        </w:rPr>
        <w:t xml:space="preserve">Further, to our understanding, modern satellites have the capability to generate </w:t>
      </w:r>
      <w:r w:rsidR="005E1238" w:rsidRPr="00663F19">
        <w:rPr>
          <w:rFonts w:ascii="Arial" w:hAnsi="Arial" w:cs="Arial"/>
          <w:lang w:eastAsia="ja-JP"/>
        </w:rPr>
        <w:t>E</w:t>
      </w:r>
      <w:r w:rsidR="00BB0257" w:rsidRPr="00EB6DCE">
        <w:rPr>
          <w:rFonts w:ascii="Arial" w:hAnsi="Arial" w:cs="Arial"/>
          <w:lang w:eastAsia="ja-JP"/>
        </w:rPr>
        <w:t xml:space="preserve">arth fixed cells with beam steering techniques. We believe that it is sensible to first progress on </w:t>
      </w:r>
      <w:r w:rsidR="005E1238" w:rsidRPr="00EB6DCE">
        <w:rPr>
          <w:rFonts w:ascii="Arial" w:hAnsi="Arial" w:cs="Arial"/>
          <w:lang w:eastAsia="ja-JP"/>
        </w:rPr>
        <w:t>E</w:t>
      </w:r>
      <w:r w:rsidR="00BB0257" w:rsidRPr="00EB6DCE">
        <w:rPr>
          <w:rFonts w:ascii="Arial" w:hAnsi="Arial" w:cs="Arial"/>
          <w:lang w:eastAsia="ja-JP"/>
        </w:rPr>
        <w:t xml:space="preserve">arth fixed cells. Once sufficient progress has been made for </w:t>
      </w:r>
      <w:r w:rsidR="005E1238" w:rsidRPr="00EB6DCE">
        <w:rPr>
          <w:rFonts w:ascii="Arial" w:hAnsi="Arial" w:cs="Arial"/>
          <w:lang w:eastAsia="ja-JP"/>
        </w:rPr>
        <w:t>E</w:t>
      </w:r>
      <w:r w:rsidR="00BB0257" w:rsidRPr="00EB6DCE">
        <w:rPr>
          <w:rFonts w:ascii="Arial" w:hAnsi="Arial" w:cs="Arial"/>
          <w:lang w:eastAsia="ja-JP"/>
        </w:rPr>
        <w:t xml:space="preserve">arth fixed cells, </w:t>
      </w:r>
      <w:r w:rsidR="005E1238" w:rsidRPr="00EB6DCE">
        <w:rPr>
          <w:rFonts w:ascii="Arial" w:hAnsi="Arial" w:cs="Arial"/>
          <w:lang w:eastAsia="ja-JP"/>
        </w:rPr>
        <w:t>E</w:t>
      </w:r>
      <w:r w:rsidR="00BB0257" w:rsidRPr="00EB6DCE">
        <w:rPr>
          <w:rFonts w:ascii="Arial" w:hAnsi="Arial" w:cs="Arial"/>
          <w:lang w:eastAsia="ja-JP"/>
        </w:rPr>
        <w:t xml:space="preserve">arth moving cells can be further considered. This would streamline the discussion as working first on </w:t>
      </w:r>
      <w:r w:rsidR="005E1238" w:rsidRPr="00EB6DCE">
        <w:rPr>
          <w:rFonts w:ascii="Arial" w:hAnsi="Arial" w:cs="Arial"/>
          <w:lang w:eastAsia="ja-JP"/>
        </w:rPr>
        <w:t>E</w:t>
      </w:r>
      <w:r w:rsidR="00BB0257" w:rsidRPr="00EB6DCE">
        <w:rPr>
          <w:rFonts w:ascii="Arial" w:hAnsi="Arial" w:cs="Arial"/>
          <w:lang w:eastAsia="ja-JP"/>
        </w:rPr>
        <w:t xml:space="preserve">arth fixed cells can facilitate the later discussion on earth moving cells. </w:t>
      </w:r>
    </w:p>
    <w:p w14:paraId="1CDB06D3" w14:textId="0EFB74FC" w:rsidR="007E70B1" w:rsidRPr="00663F19" w:rsidRDefault="005A6410" w:rsidP="008526D4">
      <w:pPr>
        <w:pStyle w:val="Proposal"/>
      </w:pPr>
      <w:bookmarkStart w:id="3" w:name="_Toc47626593"/>
      <w:r w:rsidRPr="00EB6DCE">
        <w:t xml:space="preserve">Rel-17 NR NTN WI </w:t>
      </w:r>
      <w:r w:rsidR="006B6367" w:rsidRPr="00EB6DCE">
        <w:t>to</w:t>
      </w:r>
      <w:r w:rsidR="00D67B79" w:rsidRPr="00EB6DCE">
        <w:t xml:space="preserve"> prioritize considering solutions specific to Earth fixed cells</w:t>
      </w:r>
      <w:r w:rsidRPr="00EB6DCE">
        <w:t>.</w:t>
      </w:r>
      <w:bookmarkEnd w:id="3"/>
      <w:r w:rsidRPr="00EB6DCE">
        <w:t xml:space="preserve"> </w:t>
      </w:r>
    </w:p>
    <w:p w14:paraId="30FF4207" w14:textId="29370CB6" w:rsidR="007F490B" w:rsidRDefault="007F490B" w:rsidP="007F490B">
      <w:pPr>
        <w:pStyle w:val="Heading3"/>
        <w:rPr>
          <w:rFonts w:cs="Arial"/>
        </w:rPr>
      </w:pPr>
      <w:r>
        <w:t>2.1.3</w:t>
      </w:r>
      <w:r>
        <w:tab/>
      </w:r>
      <w:r w:rsidR="00553466">
        <w:t>Air i</w:t>
      </w:r>
      <w:r>
        <w:t>nterface for</w:t>
      </w:r>
      <w:r w:rsidR="00553466">
        <w:t xml:space="preserve"> radio</w:t>
      </w:r>
      <w:r>
        <w:t xml:space="preserve"> links</w:t>
      </w:r>
    </w:p>
    <w:p w14:paraId="00C4E16A" w14:textId="4A0424BF" w:rsidR="007F490B" w:rsidRPr="00EB6DCE" w:rsidRDefault="007F490B" w:rsidP="007F490B">
      <w:pPr>
        <w:jc w:val="both"/>
        <w:rPr>
          <w:rFonts w:ascii="Arial" w:hAnsi="Arial" w:cs="Arial"/>
          <w:lang w:eastAsia="ja-JP"/>
        </w:rPr>
      </w:pPr>
      <w:r w:rsidRPr="00663F19">
        <w:rPr>
          <w:rFonts w:ascii="Arial" w:hAnsi="Arial" w:cs="Arial"/>
          <w:lang w:eastAsia="ja-JP"/>
        </w:rPr>
        <w:t xml:space="preserve">In the updated WID </w:t>
      </w:r>
      <w:r>
        <w:rPr>
          <w:rFonts w:ascii="Arial" w:hAnsi="Arial" w:cs="Arial"/>
          <w:lang w:eastAsia="ja-JP"/>
        </w:rPr>
        <w:fldChar w:fldCharType="begin"/>
      </w:r>
      <w:r w:rsidRPr="0002430F">
        <w:rPr>
          <w:rFonts w:ascii="Arial" w:hAnsi="Arial" w:cs="Arial"/>
          <w:lang w:eastAsia="ja-JP"/>
        </w:rPr>
        <w:instrText xml:space="preserve"> REF _Ref174151459 \r \h </w:instrText>
      </w:r>
      <w:r>
        <w:rPr>
          <w:rFonts w:ascii="Arial" w:hAnsi="Arial" w:cs="Arial"/>
          <w:lang w:eastAsia="ja-JP"/>
        </w:rPr>
      </w:r>
      <w:r>
        <w:rPr>
          <w:rFonts w:ascii="Arial" w:hAnsi="Arial" w:cs="Arial"/>
          <w:lang w:eastAsia="ja-JP"/>
        </w:rPr>
        <w:fldChar w:fldCharType="separate"/>
      </w:r>
      <w:r w:rsidR="00040CB3" w:rsidRPr="00663F19">
        <w:rPr>
          <w:rFonts w:ascii="Arial" w:hAnsi="Arial" w:cs="Arial"/>
          <w:lang w:eastAsia="ja-JP"/>
        </w:rPr>
        <w:t>[1]</w:t>
      </w:r>
      <w:r>
        <w:rPr>
          <w:rFonts w:ascii="Arial" w:hAnsi="Arial" w:cs="Arial"/>
          <w:lang w:eastAsia="ja-JP"/>
        </w:rPr>
        <w:fldChar w:fldCharType="end"/>
      </w:r>
      <w:r w:rsidRPr="00663F19">
        <w:rPr>
          <w:rFonts w:ascii="Arial" w:hAnsi="Arial" w:cs="Arial"/>
          <w:lang w:eastAsia="ja-JP"/>
        </w:rPr>
        <w:t xml:space="preserve">, it has been clarified that transparent payload is assumed in Rel-17. A transparent payload receives a signal from the ground, converts the carrier frequency of the signal, filters and amplifies the signal, and transmits the signal back to the ground. So, the feeder link’s </w:t>
      </w:r>
      <w:r w:rsidR="001C404E" w:rsidRPr="00EB6DCE">
        <w:rPr>
          <w:rFonts w:ascii="Arial" w:hAnsi="Arial" w:cs="Arial"/>
          <w:lang w:eastAsia="ja-JP"/>
        </w:rPr>
        <w:t xml:space="preserve">radio </w:t>
      </w:r>
      <w:r w:rsidRPr="00EB6DCE">
        <w:rPr>
          <w:rFonts w:ascii="Arial" w:hAnsi="Arial" w:cs="Arial"/>
          <w:lang w:eastAsia="ja-JP"/>
        </w:rPr>
        <w:t xml:space="preserve">interface should be the same as the service link’s </w:t>
      </w:r>
      <w:r w:rsidR="001C404E" w:rsidRPr="00EB6DCE">
        <w:rPr>
          <w:rFonts w:ascii="Arial" w:hAnsi="Arial" w:cs="Arial"/>
          <w:lang w:eastAsia="ja-JP"/>
        </w:rPr>
        <w:t xml:space="preserve">radio </w:t>
      </w:r>
      <w:r w:rsidRPr="00EB6DCE">
        <w:rPr>
          <w:rFonts w:ascii="Arial" w:hAnsi="Arial" w:cs="Arial"/>
          <w:lang w:eastAsia="ja-JP"/>
        </w:rPr>
        <w:t>interface, and both would use NR</w:t>
      </w:r>
      <w:r w:rsidR="00DB3B3C" w:rsidRPr="00EB6DCE">
        <w:rPr>
          <w:rFonts w:ascii="Arial" w:hAnsi="Arial" w:cs="Arial"/>
          <w:lang w:eastAsia="ja-JP"/>
        </w:rPr>
        <w:t xml:space="preserve"> Uu-interface</w:t>
      </w:r>
      <w:r w:rsidRPr="00EB6DCE">
        <w:rPr>
          <w:rFonts w:ascii="Arial" w:hAnsi="Arial" w:cs="Arial"/>
          <w:lang w:eastAsia="ja-JP"/>
        </w:rPr>
        <w:t xml:space="preserve">. </w:t>
      </w:r>
      <w:r w:rsidR="001C404E" w:rsidRPr="00EB6DCE">
        <w:rPr>
          <w:rFonts w:ascii="Arial" w:hAnsi="Arial" w:cs="Arial"/>
          <w:lang w:eastAsia="ja-JP"/>
        </w:rPr>
        <w:t>Additionally, with transparent payload, it appears not necessary to consider inter-satellite link.</w:t>
      </w:r>
    </w:p>
    <w:p w14:paraId="49EBF7CC" w14:textId="1E7BEDBF" w:rsidR="001C404E" w:rsidRPr="007F490B" w:rsidRDefault="007F490B" w:rsidP="00C07490">
      <w:pPr>
        <w:pStyle w:val="Observation"/>
      </w:pPr>
      <w:bookmarkStart w:id="4" w:name="_Toc47626588"/>
      <w:r w:rsidRPr="00EB6DCE">
        <w:t xml:space="preserve">As transparent payload is assumed in Rel-17, both feeder link and service link </w:t>
      </w:r>
      <w:r w:rsidR="001C404E" w:rsidRPr="00EB6DCE">
        <w:t xml:space="preserve">use </w:t>
      </w:r>
      <w:r w:rsidR="00DB3B3C" w:rsidRPr="00EB6DCE">
        <w:t xml:space="preserve">the </w:t>
      </w:r>
      <w:r w:rsidR="001C404E" w:rsidRPr="00EB6DCE">
        <w:t xml:space="preserve">NR </w:t>
      </w:r>
      <w:r w:rsidR="00DB3B3C" w:rsidRPr="00EB6DCE">
        <w:t xml:space="preserve">Uu </w:t>
      </w:r>
      <w:r w:rsidR="001C404E" w:rsidRPr="00EB6DCE">
        <w:t>interface.</w:t>
      </w:r>
      <w:bookmarkEnd w:id="4"/>
    </w:p>
    <w:p w14:paraId="6D918D97" w14:textId="39A17B9C" w:rsidR="0042414C" w:rsidRDefault="0042414C" w:rsidP="0042414C">
      <w:pPr>
        <w:pStyle w:val="Heading3"/>
        <w:rPr>
          <w:rFonts w:cs="Arial"/>
        </w:rPr>
      </w:pPr>
      <w:r>
        <w:t>2.1.</w:t>
      </w:r>
      <w:r w:rsidR="001B2EE6">
        <w:t>4</w:t>
      </w:r>
      <w:r>
        <w:tab/>
      </w:r>
      <w:r w:rsidR="002827FD">
        <w:rPr>
          <w:rFonts w:cs="Arial"/>
        </w:rPr>
        <w:t>HAPS as IMT BS (aka. HIBS)</w:t>
      </w:r>
    </w:p>
    <w:p w14:paraId="5E574D64" w14:textId="5EF6A90C" w:rsidR="002827FD" w:rsidRDefault="001B2EE6" w:rsidP="002827FD">
      <w:pPr>
        <w:jc w:val="both"/>
        <w:rPr>
          <w:rFonts w:ascii="Arial" w:hAnsi="Arial" w:cs="Arial"/>
          <w:lang w:eastAsia="ja-JP"/>
        </w:rPr>
      </w:pPr>
      <w:r w:rsidRPr="00663F19">
        <w:rPr>
          <w:rFonts w:ascii="Arial" w:hAnsi="Arial" w:cs="Arial"/>
          <w:lang w:eastAsia="ja-JP"/>
        </w:rPr>
        <w:t xml:space="preserve">The overall NTN WI objective aims to provide implicit compatibility to support HAPS. In addition, there is a specific </w:t>
      </w:r>
      <w:r w:rsidR="002827FD" w:rsidRPr="00663F19">
        <w:rPr>
          <w:rFonts w:ascii="Arial" w:hAnsi="Arial" w:cs="Arial"/>
          <w:lang w:eastAsia="ja-JP"/>
        </w:rPr>
        <w:t xml:space="preserve">HAPS objective about co-channel operation between HAPS </w:t>
      </w:r>
      <w:r w:rsidR="00F23A93">
        <w:rPr>
          <w:rFonts w:ascii="Arial" w:hAnsi="Arial" w:cs="Arial"/>
          <w:lang w:eastAsia="ja-JP"/>
        </w:rPr>
        <w:t xml:space="preserve">and </w:t>
      </w:r>
      <w:r w:rsidR="002827FD" w:rsidRPr="00663F19">
        <w:rPr>
          <w:rFonts w:ascii="Arial" w:hAnsi="Arial" w:cs="Arial"/>
          <w:lang w:eastAsia="ja-JP"/>
        </w:rPr>
        <w:t xml:space="preserve">terrestrial networks. The co-channel operation implies that the HAPS uses mobile spectrum as used in terrestrial networks to provide services. In other words, the HAPSs are used as IMT base stations (HIBS) in the mobile service. </w:t>
      </w:r>
      <w:r w:rsidR="002827FD">
        <w:rPr>
          <w:rFonts w:ascii="Arial" w:hAnsi="Arial" w:cs="Arial"/>
          <w:lang w:eastAsia="ja-JP"/>
        </w:rPr>
        <w:t xml:space="preserve">Note that WRC 2023 will </w:t>
      </w:r>
      <w:r w:rsidR="002827FD" w:rsidRPr="00EF0813">
        <w:rPr>
          <w:rFonts w:ascii="Arial" w:hAnsi="Arial" w:cs="Arial"/>
          <w:lang w:eastAsia="ja-JP"/>
        </w:rPr>
        <w:t>consider</w:t>
      </w:r>
      <w:r w:rsidR="002827FD">
        <w:rPr>
          <w:rFonts w:ascii="Arial" w:hAnsi="Arial" w:cs="Arial"/>
          <w:lang w:eastAsia="ja-JP"/>
        </w:rPr>
        <w:t xml:space="preserve"> HIBS (agenda item 1.4).</w:t>
      </w:r>
    </w:p>
    <w:p w14:paraId="5640E8F1" w14:textId="77777777" w:rsidR="002827FD" w:rsidRPr="00663F19" w:rsidRDefault="002827FD" w:rsidP="002827FD">
      <w:pPr>
        <w:pStyle w:val="Proposal"/>
      </w:pPr>
      <w:bookmarkStart w:id="5" w:name="_Toc47626594"/>
      <w:r w:rsidRPr="00663F19">
        <w:t>Clarify that the HAPS objective is about using HAPS as</w:t>
      </w:r>
      <w:r w:rsidRPr="00663F19">
        <w:rPr>
          <w:rFonts w:cs="Arial"/>
          <w:lang w:eastAsia="ja-JP"/>
        </w:rPr>
        <w:t xml:space="preserve"> IMT base stations, i.e., HIBS.</w:t>
      </w:r>
      <w:bookmarkEnd w:id="5"/>
    </w:p>
    <w:p w14:paraId="68B0CDB5" w14:textId="274ADE14" w:rsidR="007E70B1" w:rsidRDefault="007E70B1" w:rsidP="007E70B1">
      <w:pPr>
        <w:pStyle w:val="Heading2"/>
      </w:pPr>
      <w:r>
        <w:t>2.2</w:t>
      </w:r>
      <w:r>
        <w:tab/>
      </w:r>
      <w:r w:rsidR="008C27B4">
        <w:t>Assumptions</w:t>
      </w:r>
    </w:p>
    <w:p w14:paraId="401A25FB" w14:textId="77777777" w:rsidR="00EF580D" w:rsidRDefault="00F83F38" w:rsidP="00F83F38">
      <w:pPr>
        <w:jc w:val="both"/>
        <w:rPr>
          <w:rFonts w:ascii="Arial" w:hAnsi="Arial" w:cs="Arial"/>
          <w:lang w:eastAsia="ja-JP"/>
        </w:rPr>
      </w:pPr>
      <w:r w:rsidRPr="00663F19">
        <w:rPr>
          <w:rFonts w:ascii="Arial" w:hAnsi="Arial" w:cs="Arial"/>
          <w:lang w:eastAsia="ja-JP"/>
        </w:rPr>
        <w:t>There were many assumptions</w:t>
      </w:r>
      <w:r w:rsidR="00C32FD2" w:rsidRPr="00663F19">
        <w:rPr>
          <w:rFonts w:ascii="Arial" w:hAnsi="Arial" w:cs="Arial"/>
          <w:lang w:eastAsia="ja-JP"/>
        </w:rPr>
        <w:t xml:space="preserve"> and de</w:t>
      </w:r>
      <w:r w:rsidR="00D519ED" w:rsidRPr="00663F19">
        <w:rPr>
          <w:rFonts w:ascii="Arial" w:hAnsi="Arial" w:cs="Arial"/>
          <w:lang w:eastAsia="ja-JP"/>
        </w:rPr>
        <w:t>s</w:t>
      </w:r>
      <w:r w:rsidR="00C32FD2" w:rsidRPr="00663F19">
        <w:rPr>
          <w:rFonts w:ascii="Arial" w:hAnsi="Arial" w:cs="Arial"/>
          <w:lang w:eastAsia="ja-JP"/>
        </w:rPr>
        <w:t>ig</w:t>
      </w:r>
      <w:r w:rsidR="00D519ED" w:rsidRPr="00EB6DCE">
        <w:rPr>
          <w:rFonts w:ascii="Arial" w:hAnsi="Arial" w:cs="Arial"/>
          <w:lang w:eastAsia="ja-JP"/>
        </w:rPr>
        <w:t>n</w:t>
      </w:r>
      <w:r w:rsidR="00C32FD2" w:rsidRPr="00EB6DCE">
        <w:rPr>
          <w:rFonts w:ascii="Arial" w:hAnsi="Arial" w:cs="Arial"/>
          <w:lang w:eastAsia="ja-JP"/>
        </w:rPr>
        <w:t xml:space="preserve"> requirements</w:t>
      </w:r>
      <w:r w:rsidRPr="00EB6DCE">
        <w:rPr>
          <w:rFonts w:ascii="Arial" w:hAnsi="Arial" w:cs="Arial"/>
          <w:lang w:eastAsia="ja-JP"/>
        </w:rPr>
        <w:t xml:space="preserve"> made in Rel-16 on NTN for the study purpose. Many of them </w:t>
      </w:r>
      <w:r w:rsidR="004D24DB" w:rsidRPr="00EB6DCE">
        <w:rPr>
          <w:rFonts w:ascii="Arial" w:hAnsi="Arial" w:cs="Arial"/>
          <w:lang w:eastAsia="ja-JP"/>
        </w:rPr>
        <w:t>would no</w:t>
      </w:r>
      <w:r w:rsidR="00AA7067" w:rsidRPr="00EB6DCE">
        <w:rPr>
          <w:rFonts w:ascii="Arial" w:hAnsi="Arial" w:cs="Arial"/>
          <w:lang w:eastAsia="ja-JP"/>
        </w:rPr>
        <w:t>t lead to direct specification change but serve as use case scenario assumption</w:t>
      </w:r>
      <w:r w:rsidR="00C32FD2" w:rsidRPr="00EB6DCE">
        <w:rPr>
          <w:rFonts w:ascii="Arial" w:hAnsi="Arial" w:cs="Arial"/>
          <w:lang w:eastAsia="ja-JP"/>
        </w:rPr>
        <w:t>s</w:t>
      </w:r>
      <w:r w:rsidR="008569E5">
        <w:rPr>
          <w:rFonts w:ascii="Arial" w:hAnsi="Arial" w:cs="Arial"/>
          <w:lang w:eastAsia="ja-JP"/>
        </w:rPr>
        <w:t>. Thus</w:t>
      </w:r>
      <w:r w:rsidRPr="00EB6DCE">
        <w:rPr>
          <w:rFonts w:ascii="Arial" w:hAnsi="Arial" w:cs="Arial"/>
          <w:lang w:eastAsia="ja-JP"/>
        </w:rPr>
        <w:t xml:space="preserve">, it is sufficient to focus on examining </w:t>
      </w:r>
      <w:r w:rsidR="00EF21E3" w:rsidRPr="00EB6DCE">
        <w:rPr>
          <w:rFonts w:ascii="Arial" w:hAnsi="Arial" w:cs="Arial"/>
          <w:lang w:eastAsia="ja-JP"/>
        </w:rPr>
        <w:t xml:space="preserve">those that have direct </w:t>
      </w:r>
      <w:r w:rsidRPr="00EB6DCE">
        <w:rPr>
          <w:rFonts w:ascii="Arial" w:hAnsi="Arial" w:cs="Arial"/>
          <w:lang w:eastAsia="ja-JP"/>
        </w:rPr>
        <w:t xml:space="preserve"> specification</w:t>
      </w:r>
      <w:r w:rsidR="00EF21E3" w:rsidRPr="00EB6DCE">
        <w:rPr>
          <w:rFonts w:ascii="Arial" w:hAnsi="Arial" w:cs="Arial"/>
          <w:lang w:eastAsia="ja-JP"/>
        </w:rPr>
        <w:t xml:space="preserve"> impact</w:t>
      </w:r>
      <w:r w:rsidRPr="00EB6DCE">
        <w:rPr>
          <w:rFonts w:ascii="Arial" w:hAnsi="Arial" w:cs="Arial"/>
          <w:lang w:eastAsia="ja-JP"/>
        </w:rPr>
        <w:t xml:space="preserve">. </w:t>
      </w:r>
    </w:p>
    <w:p w14:paraId="017F49E2" w14:textId="3A71F03D" w:rsidR="00F83F38" w:rsidRPr="00EB6DCE" w:rsidRDefault="00F83F38" w:rsidP="00F83F38">
      <w:pPr>
        <w:jc w:val="both"/>
        <w:rPr>
          <w:rFonts w:ascii="Arial" w:hAnsi="Arial" w:cs="Arial"/>
          <w:lang w:eastAsia="ja-JP"/>
        </w:rPr>
      </w:pPr>
      <w:r w:rsidRPr="00EB6DCE">
        <w:rPr>
          <w:rFonts w:ascii="Arial" w:hAnsi="Arial" w:cs="Arial"/>
          <w:lang w:eastAsia="ja-JP"/>
        </w:rPr>
        <w:t xml:space="preserve">As we propose to prioritize LEO NTNs in Rel-17, we focus on LEO NTNs (300 – 1500 m altitude) related design assumptions below. </w:t>
      </w:r>
    </w:p>
    <w:p w14:paraId="3D47C8FF" w14:textId="2EA99EBF" w:rsidR="00F83F38" w:rsidRPr="00EF580D" w:rsidRDefault="00F83F38" w:rsidP="00EF580D">
      <w:pPr>
        <w:jc w:val="both"/>
        <w:rPr>
          <w:rFonts w:ascii="Arial" w:hAnsi="Arial" w:cs="Arial"/>
          <w:lang w:eastAsia="ja-JP"/>
        </w:rPr>
      </w:pPr>
      <w:r w:rsidRPr="00EF580D">
        <w:rPr>
          <w:rFonts w:ascii="Arial" w:hAnsi="Arial" w:cs="Arial"/>
          <w:lang w:val="en-US" w:eastAsia="ja-JP"/>
        </w:rPr>
        <w:t>M</w:t>
      </w:r>
      <w:r w:rsidRPr="00EF580D">
        <w:rPr>
          <w:rFonts w:ascii="Arial" w:hAnsi="Arial" w:cs="Arial"/>
          <w:lang w:eastAsia="ja-JP"/>
        </w:rPr>
        <w:t>aximum cell size affects many aspects including maximum differential delay, maximum Doppler difference, etc. In Rel-16, a maximum cell diameter of 1000 km for LEO NTN was considered. This appears to be an unusually large cell diameter for LEO NTN, for which a proper justification has not been provided.</w:t>
      </w:r>
      <w:r w:rsidRPr="00EF580D">
        <w:rPr>
          <w:rFonts w:ascii="Arial" w:hAnsi="Arial" w:cs="Arial"/>
          <w:lang w:val="en-US" w:eastAsia="ja-JP"/>
        </w:rPr>
        <w:t xml:space="preserve"> </w:t>
      </w:r>
      <w:r w:rsidRPr="00EF580D">
        <w:rPr>
          <w:rFonts w:ascii="Arial" w:hAnsi="Arial" w:cs="Arial"/>
          <w:lang w:eastAsia="ja-JP"/>
        </w:rPr>
        <w:t xml:space="preserve">Minimum elevation angle </w:t>
      </w:r>
      <w:r w:rsidR="00E142E7" w:rsidRPr="00EF580D">
        <w:rPr>
          <w:rFonts w:ascii="Arial" w:hAnsi="Arial" w:cs="Arial"/>
          <w:lang w:val="en-US" w:eastAsia="ja-JP"/>
        </w:rPr>
        <w:t xml:space="preserve">may </w:t>
      </w:r>
      <w:r w:rsidRPr="00EF580D">
        <w:rPr>
          <w:rFonts w:ascii="Arial" w:hAnsi="Arial" w:cs="Arial"/>
          <w:lang w:eastAsia="ja-JP"/>
        </w:rPr>
        <w:t>affect aspect</w:t>
      </w:r>
      <w:r w:rsidR="00E142E7" w:rsidRPr="00EF580D">
        <w:rPr>
          <w:rFonts w:ascii="Arial" w:hAnsi="Arial" w:cs="Arial"/>
          <w:lang w:val="en-US" w:eastAsia="ja-JP"/>
        </w:rPr>
        <w:t>s</w:t>
      </w:r>
      <w:r w:rsidRPr="00EF580D">
        <w:rPr>
          <w:rFonts w:ascii="Arial" w:hAnsi="Arial" w:cs="Arial"/>
          <w:lang w:eastAsia="ja-JP"/>
        </w:rPr>
        <w:t xml:space="preserve"> including maximum RTT for a given satellite orbit altitude, cell selection and reselection, etc. In Rel-16, the minimum elevation angle for sat-gateway was assumed to be 10 degree</w:t>
      </w:r>
      <w:r w:rsidR="006C19A1">
        <w:rPr>
          <w:rFonts w:ascii="Arial" w:hAnsi="Arial" w:cs="Arial"/>
          <w:lang w:eastAsia="ja-JP"/>
        </w:rPr>
        <w:t>s</w:t>
      </w:r>
      <w:r w:rsidRPr="00EF580D">
        <w:rPr>
          <w:rFonts w:ascii="Arial" w:hAnsi="Arial" w:cs="Arial"/>
          <w:lang w:eastAsia="ja-JP"/>
        </w:rPr>
        <w:t>. Though 10 degree</w:t>
      </w:r>
      <w:r w:rsidR="006C19A1">
        <w:rPr>
          <w:rFonts w:ascii="Arial" w:hAnsi="Arial" w:cs="Arial"/>
          <w:lang w:eastAsia="ja-JP"/>
        </w:rPr>
        <w:t>s</w:t>
      </w:r>
      <w:r w:rsidRPr="00EF580D">
        <w:rPr>
          <w:rFonts w:ascii="Arial" w:hAnsi="Arial" w:cs="Arial"/>
          <w:lang w:eastAsia="ja-JP"/>
        </w:rPr>
        <w:t xml:space="preserve"> was also considered for sat-UE minimum elevation angle in LEO NTN, the link budget analysis in fact assumed </w:t>
      </w:r>
      <w:r w:rsidR="00E142E7" w:rsidRPr="00EF580D">
        <w:rPr>
          <w:rFonts w:ascii="Arial" w:hAnsi="Arial" w:cs="Arial"/>
          <w:lang w:val="en-US" w:eastAsia="ja-JP"/>
        </w:rPr>
        <w:t xml:space="preserve">a </w:t>
      </w:r>
      <w:r w:rsidRPr="00EF580D">
        <w:rPr>
          <w:rFonts w:ascii="Arial" w:hAnsi="Arial" w:cs="Arial"/>
          <w:lang w:eastAsia="ja-JP"/>
        </w:rPr>
        <w:t>sat-UE minimum elevation angle of 30 degree</w:t>
      </w:r>
      <w:r w:rsidR="006C19A1">
        <w:rPr>
          <w:rFonts w:ascii="Arial" w:hAnsi="Arial" w:cs="Arial"/>
          <w:lang w:eastAsia="ja-JP"/>
        </w:rPr>
        <w:t>s</w:t>
      </w:r>
      <w:r w:rsidRPr="00EF580D">
        <w:rPr>
          <w:rFonts w:ascii="Arial" w:hAnsi="Arial" w:cs="Arial"/>
          <w:lang w:eastAsia="ja-JP"/>
        </w:rPr>
        <w:t xml:space="preserve">.  </w:t>
      </w:r>
    </w:p>
    <w:p w14:paraId="21C1774D" w14:textId="012A615E" w:rsidR="00F83F38" w:rsidRPr="00EB6DCE" w:rsidRDefault="00F83F38" w:rsidP="00F83F38">
      <w:pPr>
        <w:jc w:val="both"/>
        <w:rPr>
          <w:rFonts w:ascii="Arial" w:hAnsi="Arial" w:cs="Arial"/>
          <w:lang w:eastAsia="ja-JP"/>
        </w:rPr>
      </w:pPr>
      <w:r w:rsidRPr="00663F19">
        <w:rPr>
          <w:rFonts w:ascii="Arial" w:hAnsi="Arial" w:cs="Arial"/>
          <w:lang w:eastAsia="ja-JP"/>
        </w:rPr>
        <w:t>With the maximum cell diameter, minimum elevation angle for sat-gateway / sat-UE, transparent payload, 300 – 1500 m altitude, delay related assumptions</w:t>
      </w:r>
      <w:r w:rsidR="00040CB3" w:rsidRPr="00EB6DCE">
        <w:rPr>
          <w:rFonts w:ascii="Arial" w:hAnsi="Arial" w:cs="Arial"/>
          <w:lang w:eastAsia="ja-JP"/>
        </w:rPr>
        <w:t>, including</w:t>
      </w:r>
      <w:r w:rsidRPr="00EB6DCE">
        <w:rPr>
          <w:rFonts w:ascii="Arial" w:hAnsi="Arial" w:cs="Arial"/>
          <w:lang w:eastAsia="ja-JP"/>
        </w:rPr>
        <w:t xml:space="preserve"> RTT range, maximum one-way </w:t>
      </w:r>
      <w:r w:rsidRPr="00EB6DCE">
        <w:rPr>
          <w:rFonts w:ascii="Arial" w:hAnsi="Arial" w:cs="Arial"/>
          <w:lang w:eastAsia="ja-JP"/>
        </w:rPr>
        <w:lastRenderedPageBreak/>
        <w:t>delay variation rate, maximum one-way differential delay (between 2 UEs) in LEO NTNs</w:t>
      </w:r>
      <w:r w:rsidR="00040CB3" w:rsidRPr="00EB6DCE">
        <w:rPr>
          <w:rFonts w:ascii="Arial" w:hAnsi="Arial" w:cs="Arial"/>
          <w:lang w:eastAsia="ja-JP"/>
        </w:rPr>
        <w:t>, can be determined</w:t>
      </w:r>
      <w:r w:rsidRPr="00EB6DCE">
        <w:rPr>
          <w:rFonts w:ascii="Arial" w:hAnsi="Arial" w:cs="Arial"/>
          <w:lang w:eastAsia="ja-JP"/>
        </w:rPr>
        <w:t>. Similarly, Doppler related assumptions, including downlink Doppler shift range, maximum downlink Doppler variation rate, and maximum downlink differential Doppler shift (between 2 UEs) in LEO NTNs, can be determined.</w:t>
      </w:r>
    </w:p>
    <w:p w14:paraId="390C5611" w14:textId="27208A45" w:rsidR="00F83F38" w:rsidRPr="00EB6DCE" w:rsidRDefault="00F83F38" w:rsidP="00F83F38">
      <w:pPr>
        <w:jc w:val="both"/>
        <w:rPr>
          <w:rFonts w:ascii="Arial" w:hAnsi="Arial" w:cs="Arial"/>
          <w:lang w:eastAsia="ja-JP"/>
        </w:rPr>
      </w:pPr>
      <w:r w:rsidRPr="00EB6DCE">
        <w:rPr>
          <w:rFonts w:ascii="Arial" w:hAnsi="Arial" w:cs="Arial"/>
          <w:lang w:eastAsia="ja-JP"/>
        </w:rPr>
        <w:t xml:space="preserve">Assumption on UE types </w:t>
      </w:r>
      <w:r w:rsidR="00ED38C6" w:rsidRPr="00EB6DCE">
        <w:rPr>
          <w:rFonts w:ascii="Arial" w:hAnsi="Arial" w:cs="Arial"/>
          <w:lang w:eastAsia="ja-JP"/>
        </w:rPr>
        <w:t xml:space="preserve">may also be necessary. </w:t>
      </w:r>
      <w:r w:rsidRPr="00EB6DCE">
        <w:rPr>
          <w:rFonts w:ascii="Arial" w:hAnsi="Arial" w:cs="Arial"/>
          <w:lang w:eastAsia="ja-JP"/>
        </w:rPr>
        <w:t>LEO NTNs are of interest in both FR1 and FR2. In FR1, they have the potential to connect handheld with omni-directional antenna. In FR2, they may utilize larger bandwidth to connect to device with directional antenna (such as VSAT).</w:t>
      </w:r>
      <w:r w:rsidR="00040CB3" w:rsidRPr="00EB6DCE">
        <w:rPr>
          <w:rFonts w:ascii="Arial" w:hAnsi="Arial" w:cs="Arial"/>
          <w:lang w:eastAsia="ja-JP"/>
        </w:rPr>
        <w:t xml:space="preserve"> </w:t>
      </w:r>
      <w:r w:rsidR="00ED38C6" w:rsidRPr="00EB6DCE">
        <w:rPr>
          <w:rFonts w:ascii="Arial" w:hAnsi="Arial" w:cs="Arial"/>
          <w:lang w:eastAsia="ja-JP"/>
        </w:rPr>
        <w:t>To maximize synergy with terrestrial NR design, the maximum channel bandwidths for NTN can follow the existing values: 100 MHz for FR1 and 400 MHz for FR2. Note that if an NTN network has more bandwidths than the maximum channel bandwidths supported in FR1 / FR2, carrier aggregation can be applied.</w:t>
      </w:r>
    </w:p>
    <w:p w14:paraId="4B5AFB66" w14:textId="71A07B0E" w:rsidR="00ED38C6" w:rsidRPr="00EB6DCE" w:rsidRDefault="00ED38C6" w:rsidP="007E70B1">
      <w:pPr>
        <w:jc w:val="both"/>
        <w:rPr>
          <w:rFonts w:ascii="Arial" w:hAnsi="Arial" w:cs="Arial"/>
          <w:lang w:eastAsia="ja-JP"/>
        </w:rPr>
      </w:pPr>
      <w:r w:rsidRPr="00EB6DCE">
        <w:rPr>
          <w:rFonts w:ascii="Arial" w:hAnsi="Arial" w:cs="Arial"/>
          <w:lang w:eastAsia="ja-JP"/>
        </w:rPr>
        <w:t>Nevertheless, assumptions on these are more pertinent for RAN1 to decide.</w:t>
      </w:r>
    </w:p>
    <w:p w14:paraId="3DA73F0D" w14:textId="35429A11" w:rsidR="00ED38C6" w:rsidRPr="00EB6DCE" w:rsidRDefault="00ED38C6" w:rsidP="007E70B1">
      <w:pPr>
        <w:pStyle w:val="Observation"/>
      </w:pPr>
      <w:bookmarkStart w:id="6" w:name="_Toc47626589"/>
      <w:r w:rsidRPr="00EB6DCE">
        <w:t xml:space="preserve">Many assumptions made in Rel-16 NTN SI </w:t>
      </w:r>
      <w:r w:rsidR="004D10E7" w:rsidRPr="00EB6DCE">
        <w:t>will not affect directly specification</w:t>
      </w:r>
      <w:r w:rsidR="00DD689F" w:rsidRPr="00EB6DCE">
        <w:t xml:space="preserve"> development and thus there is no need</w:t>
      </w:r>
      <w:r w:rsidR="00A5265A" w:rsidRPr="00EB6DCE">
        <w:t xml:space="preserve"> to</w:t>
      </w:r>
      <w:r w:rsidR="00DD689F" w:rsidRPr="00EB6DCE">
        <w:t xml:space="preserve"> reach WI agreements on those</w:t>
      </w:r>
      <w:r w:rsidRPr="00EB6DCE">
        <w:t>.</w:t>
      </w:r>
      <w:bookmarkEnd w:id="6"/>
    </w:p>
    <w:p w14:paraId="28114C09" w14:textId="3D1BEA77" w:rsidR="00ED38C6" w:rsidRDefault="00ED38C6" w:rsidP="001C1A25">
      <w:pPr>
        <w:pStyle w:val="Observation"/>
      </w:pPr>
      <w:bookmarkStart w:id="7" w:name="_Toc47626590"/>
      <w:r w:rsidRPr="00BB22AB">
        <w:t>Key assumptions that may have design impact are more pertinent for RAN1 to decide.</w:t>
      </w:r>
      <w:bookmarkEnd w:id="7"/>
      <w:r w:rsidRPr="00BB22AB">
        <w:t xml:space="preserve"> </w:t>
      </w:r>
    </w:p>
    <w:p w14:paraId="72FEA9F3" w14:textId="3E2C1584" w:rsidR="00F63CA1" w:rsidRPr="008307C0" w:rsidRDefault="00AD19CA" w:rsidP="00C11EFF">
      <w:pPr>
        <w:pStyle w:val="Proposal"/>
        <w:tabs>
          <w:tab w:val="clear" w:pos="1304"/>
        </w:tabs>
        <w:ind w:left="1701" w:hanging="1701"/>
      </w:pPr>
      <w:bookmarkStart w:id="8" w:name="_Toc47626595"/>
      <w:r>
        <w:t xml:space="preserve">RAN2 waits for RAN1 input on e.g. </w:t>
      </w:r>
      <w:r w:rsidR="00030AAF">
        <w:t>delay and</w:t>
      </w:r>
      <w:r w:rsidR="00AF341E">
        <w:t xml:space="preserve"> Doppler related</w:t>
      </w:r>
      <w:r w:rsidR="00030AAF">
        <w:t xml:space="preserve"> assumptions.</w:t>
      </w:r>
      <w:bookmarkEnd w:id="8"/>
    </w:p>
    <w:p w14:paraId="7D1661A5" w14:textId="6F4CD192" w:rsidR="007E70B1" w:rsidRDefault="007E70B1" w:rsidP="007E70B1">
      <w:pPr>
        <w:pStyle w:val="Heading2"/>
      </w:pPr>
      <w:r>
        <w:t>2.</w:t>
      </w:r>
      <w:r w:rsidR="001B2EE6">
        <w:t>3</w:t>
      </w:r>
      <w:r>
        <w:tab/>
        <w:t>Location services for NTN</w:t>
      </w:r>
    </w:p>
    <w:p w14:paraId="303CBFF7" w14:textId="0C450109" w:rsidR="005D3AB9" w:rsidRPr="00663F19" w:rsidRDefault="005D3AB9" w:rsidP="005D3AB9">
      <w:pPr>
        <w:jc w:val="both"/>
        <w:rPr>
          <w:rFonts w:ascii="Arial" w:hAnsi="Arial" w:cs="Arial"/>
          <w:lang w:eastAsia="ja-JP"/>
        </w:rPr>
      </w:pPr>
      <w:r w:rsidRPr="00663F19">
        <w:rPr>
          <w:rFonts w:ascii="Arial" w:hAnsi="Arial" w:cs="Arial"/>
          <w:lang w:eastAsia="ja-JP"/>
        </w:rPr>
        <w:t>In this section, we discuss the following objective related to Location Services (LCS) for NTN.</w:t>
      </w:r>
    </w:p>
    <w:p w14:paraId="259D2FDD" w14:textId="77777777" w:rsidR="005D3AB9" w:rsidRPr="00623BFB" w:rsidRDefault="005D3AB9" w:rsidP="005D3AB9">
      <w:pPr>
        <w:jc w:val="both"/>
        <w:rPr>
          <w:rFonts w:ascii="Arial" w:hAnsi="Arial" w:cs="Arial"/>
          <w:lang w:eastAsia="ja-JP"/>
        </w:rPr>
      </w:pPr>
      <w:r w:rsidRPr="00B41F6B">
        <w:rPr>
          <w:rFonts w:cs="Arial"/>
          <w:noProof/>
        </w:rPr>
        <mc:AlternateContent>
          <mc:Choice Requires="wps">
            <w:drawing>
              <wp:inline distT="0" distB="0" distL="0" distR="0" wp14:anchorId="6E8FCBE3" wp14:editId="5A19418B">
                <wp:extent cx="6120765" cy="422031"/>
                <wp:effectExtent l="0" t="0" r="13335" b="16510"/>
                <wp:docPr id="1" name="Text Box 1"/>
                <wp:cNvGraphicFramePr/>
                <a:graphic xmlns:a="http://schemas.openxmlformats.org/drawingml/2006/main">
                  <a:graphicData uri="http://schemas.microsoft.com/office/word/2010/wordprocessingShape">
                    <wps:wsp>
                      <wps:cNvSpPr txBox="1"/>
                      <wps:spPr>
                        <a:xfrm>
                          <a:off x="0" y="0"/>
                          <a:ext cx="6120765" cy="422031"/>
                        </a:xfrm>
                        <a:prstGeom prst="rect">
                          <a:avLst/>
                        </a:prstGeom>
                        <a:solidFill>
                          <a:schemeClr val="lt1"/>
                        </a:solidFill>
                        <a:ln w="6350">
                          <a:solidFill>
                            <a:prstClr val="black"/>
                          </a:solidFill>
                        </a:ln>
                      </wps:spPr>
                      <wps:txbx>
                        <w:txbxContent>
                          <w:p w14:paraId="11DDC302" w14:textId="13110A39" w:rsidR="005D3AB9" w:rsidRPr="00663F19" w:rsidRDefault="005D3AB9" w:rsidP="005D3AB9">
                            <w:pPr>
                              <w:numPr>
                                <w:ilvl w:val="0"/>
                                <w:numId w:val="30"/>
                              </w:numPr>
                              <w:overflowPunct w:val="0"/>
                              <w:autoSpaceDE w:val="0"/>
                              <w:autoSpaceDN w:val="0"/>
                              <w:adjustRightInd w:val="0"/>
                              <w:spacing w:after="180" w:line="240" w:lineRule="auto"/>
                              <w:rPr>
                                <w:rFonts w:ascii="Arial" w:eastAsia="Times New Roman" w:hAnsi="Arial" w:cs="Arial"/>
                                <w:sz w:val="20"/>
                                <w:szCs w:val="20"/>
                              </w:rPr>
                            </w:pPr>
                            <w:r w:rsidRPr="00663F19">
                              <w:rPr>
                                <w:rFonts w:ascii="Arial" w:hAnsi="Arial" w:cs="Arial"/>
                                <w:sz w:val="20"/>
                                <w:szCs w:val="20"/>
                              </w:rPr>
                              <w:t>Identify potential issues associated to the use of the existing Location Services (LCS) application protocols to locate UE in the context of NTN and specify adaptations if any [RAN2/3]</w:t>
                            </w:r>
                          </w:p>
                          <w:p w14:paraId="613DC676" w14:textId="77777777" w:rsidR="005D3AB9" w:rsidRPr="00663F19" w:rsidRDefault="005D3AB9" w:rsidP="005D3AB9">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E8FCBE3" id="_x0000_t202" coordsize="21600,21600" o:spt="202" path="m,l,21600r21600,l21600,xe">
                <v:stroke joinstyle="miter"/>
                <v:path gradientshapeok="t" o:connecttype="rect"/>
              </v:shapetype>
              <v:shape id="Text Box 1" o:spid="_x0000_s1026" type="#_x0000_t202" style="width:481.95pt;height:3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" fillcolor="white [3201]" strokeweight=".5pt">
                <v:textbox>
                  <w:txbxContent>
                    <w:p w14:paraId="11DDC302" w14:textId="13110A39" w:rsidR="005D3AB9" w:rsidRPr="00663F19" w:rsidRDefault="005D3AB9" w:rsidP="005D3AB9">
                      <w:pPr>
                        <w:numPr>
                          <w:ilvl w:val="0"/>
                          <w:numId w:val="30"/>
                        </w:numPr>
                        <w:overflowPunct w:val="0"/>
                        <w:autoSpaceDE w:val="0"/>
                        <w:autoSpaceDN w:val="0"/>
                        <w:adjustRightInd w:val="0"/>
                        <w:spacing w:after="180" w:line="240" w:lineRule="auto"/>
                        <w:rPr>
                          <w:rFonts w:ascii="Arial" w:eastAsia="Times New Roman" w:hAnsi="Arial" w:cs="Arial"/>
                          <w:sz w:val="20"/>
                          <w:szCs w:val="20"/>
                        </w:rPr>
                      </w:pPr>
                      <w:r w:rsidRPr="00663F19">
                        <w:rPr>
                          <w:rFonts w:ascii="Arial" w:hAnsi="Arial" w:cs="Arial"/>
                          <w:sz w:val="20"/>
                          <w:szCs w:val="20"/>
                        </w:rPr>
                        <w:t>Identify potential issues associated to the use of the existing Location Services (LCS) application protocols to locate UE in the context of NTN and specify adaptations if any [RAN2/3]</w:t>
                      </w:r>
                    </w:p>
                    <w:p w14:paraId="613DC676" w14:textId="77777777" w:rsidR="005D3AB9" w:rsidRPr="00663F19" w:rsidRDefault="005D3AB9" w:rsidP="005D3AB9">
                      <w:pPr>
                        <w:rPr>
                          <w:rFonts w:ascii="Arial" w:hAnsi="Arial" w:cs="Arial"/>
                        </w:rPr>
                      </w:pPr>
                    </w:p>
                  </w:txbxContent>
                </v:textbox>
                <w10:anchorlock/>
              </v:shape>
            </w:pict>
          </mc:Fallback>
        </mc:AlternateContent>
      </w:r>
    </w:p>
    <w:p w14:paraId="24DECF7B" w14:textId="6C6E5068" w:rsidR="007E3565" w:rsidRPr="00663F19" w:rsidRDefault="005D3AB9" w:rsidP="000143C1">
      <w:pPr>
        <w:jc w:val="both"/>
      </w:pPr>
      <w:r w:rsidRPr="00663F19">
        <w:rPr>
          <w:rFonts w:ascii="Arial" w:hAnsi="Arial" w:cs="Arial"/>
          <w:lang w:eastAsia="ja-JP"/>
        </w:rPr>
        <w:t>As stated in the approved WID, UEs with GNSS capabilities are assumed</w:t>
      </w:r>
      <w:r w:rsidR="00B066B0" w:rsidRPr="00663F19">
        <w:rPr>
          <w:rFonts w:ascii="Arial" w:hAnsi="Arial" w:cs="Arial"/>
          <w:lang w:eastAsia="ja-JP"/>
        </w:rPr>
        <w:t xml:space="preserve">. Further, </w:t>
      </w:r>
      <w:r w:rsidR="00E30087" w:rsidRPr="00663F19">
        <w:rPr>
          <w:rFonts w:ascii="Arial" w:hAnsi="Arial" w:cs="Arial"/>
          <w:lang w:eastAsia="ja-JP"/>
        </w:rPr>
        <w:t>the WID is considering transparent payload</w:t>
      </w:r>
      <w:r w:rsidR="003B62F7" w:rsidRPr="00663F19">
        <w:rPr>
          <w:rFonts w:ascii="Arial" w:hAnsi="Arial" w:cs="Arial"/>
          <w:lang w:eastAsia="ja-JP"/>
        </w:rPr>
        <w:t xml:space="preserve"> which means the gNB are on the grou</w:t>
      </w:r>
      <w:r w:rsidR="00617C64" w:rsidRPr="00EB6DCE">
        <w:rPr>
          <w:rFonts w:ascii="Arial" w:hAnsi="Arial" w:cs="Arial"/>
          <w:lang w:eastAsia="ja-JP"/>
        </w:rPr>
        <w:t xml:space="preserve">nd as in </w:t>
      </w:r>
      <w:r w:rsidR="007E3565" w:rsidRPr="00EB6DCE">
        <w:rPr>
          <w:rFonts w:ascii="Arial" w:hAnsi="Arial" w:cs="Arial"/>
          <w:lang w:eastAsia="ja-JP"/>
        </w:rPr>
        <w:t>terrestrial networks.</w:t>
      </w:r>
      <w:r w:rsidR="001D388B" w:rsidRPr="00EB6DCE">
        <w:rPr>
          <w:rFonts w:ascii="Arial" w:hAnsi="Arial" w:cs="Arial"/>
          <w:lang w:eastAsia="ja-JP"/>
        </w:rPr>
        <w:t xml:space="preserve"> That is </w:t>
      </w:r>
      <w:r w:rsidR="00E46D72" w:rsidRPr="00EB6DCE">
        <w:rPr>
          <w:rFonts w:ascii="Arial" w:hAnsi="Arial" w:cs="Arial"/>
          <w:lang w:eastAsia="ja-JP"/>
        </w:rPr>
        <w:t>location services</w:t>
      </w:r>
      <w:r w:rsidR="00470473" w:rsidRPr="00EB6DCE">
        <w:rPr>
          <w:rFonts w:ascii="Arial" w:hAnsi="Arial" w:cs="Arial"/>
          <w:lang w:eastAsia="ja-JP"/>
        </w:rPr>
        <w:t xml:space="preserve"> should work as </w:t>
      </w:r>
      <w:r w:rsidR="00CA71F9" w:rsidRPr="00EB6DCE">
        <w:rPr>
          <w:rFonts w:ascii="Arial" w:hAnsi="Arial" w:cs="Arial"/>
          <w:lang w:eastAsia="ja-JP"/>
        </w:rPr>
        <w:t xml:space="preserve">per current standard and we do not foresee any </w:t>
      </w:r>
      <w:r w:rsidR="00416782" w:rsidRPr="00EB6DCE">
        <w:rPr>
          <w:rFonts w:ascii="Arial" w:hAnsi="Arial" w:cs="Arial"/>
          <w:lang w:eastAsia="ja-JP"/>
        </w:rPr>
        <w:t>immediate changes needed</w:t>
      </w:r>
      <w:r w:rsidR="00A82C95" w:rsidRPr="00EB6DCE">
        <w:rPr>
          <w:rFonts w:ascii="Arial" w:hAnsi="Arial" w:cs="Arial"/>
          <w:lang w:eastAsia="ja-JP"/>
        </w:rPr>
        <w:t>.</w:t>
      </w:r>
    </w:p>
    <w:p w14:paraId="12CA625A" w14:textId="55AA5E7D" w:rsidR="007E3565" w:rsidRPr="00EB6DCE" w:rsidRDefault="00A82C95" w:rsidP="007E3565">
      <w:pPr>
        <w:pStyle w:val="Observation"/>
      </w:pPr>
      <w:bookmarkStart w:id="9" w:name="_Toc47626591"/>
      <w:r w:rsidRPr="00663F19">
        <w:t>The l</w:t>
      </w:r>
      <w:r w:rsidRPr="00EB6DCE">
        <w:rPr>
          <w:rFonts w:cs="Arial"/>
        </w:rPr>
        <w:t>ocation services should work as per current standard and we do not foresee any immediate changes needed</w:t>
      </w:r>
      <w:r w:rsidR="007E3565" w:rsidRPr="00EB6DCE">
        <w:t>.</w:t>
      </w:r>
      <w:bookmarkEnd w:id="9"/>
      <w:r w:rsidR="007E3565" w:rsidRPr="00EB6DCE">
        <w:t xml:space="preserve"> </w:t>
      </w:r>
    </w:p>
    <w:p w14:paraId="43153B1E" w14:textId="2089C9EA" w:rsidR="007E70B1" w:rsidRPr="00EB6DCE" w:rsidRDefault="007E70B1" w:rsidP="008526D4">
      <w:pPr>
        <w:jc w:val="both"/>
        <w:rPr>
          <w:rFonts w:ascii="Arial" w:hAnsi="Arial" w:cs="Arial"/>
          <w:lang w:eastAsia="ja-JP"/>
        </w:rPr>
      </w:pPr>
    </w:p>
    <w:p w14:paraId="4F75E819" w14:textId="0C66A51F" w:rsidR="007E70B1" w:rsidRDefault="007E70B1" w:rsidP="007E70B1">
      <w:pPr>
        <w:pStyle w:val="Heading2"/>
      </w:pPr>
      <w:r>
        <w:t>2.</w:t>
      </w:r>
      <w:r w:rsidR="001B2EE6">
        <w:t>4</w:t>
      </w:r>
      <w:r>
        <w:tab/>
      </w:r>
      <w:r w:rsidR="001B2EE6">
        <w:t xml:space="preserve">PCI confusion in </w:t>
      </w:r>
      <w:r w:rsidR="0035774C">
        <w:t>HAPS/</w:t>
      </w:r>
      <w:r w:rsidR="001B2EE6">
        <w:t>HIBS deployment</w:t>
      </w:r>
    </w:p>
    <w:p w14:paraId="6113CB94" w14:textId="4C71DB07" w:rsidR="007E70B1" w:rsidRPr="00663F19" w:rsidRDefault="007E70B1" w:rsidP="008526D4">
      <w:pPr>
        <w:jc w:val="both"/>
        <w:rPr>
          <w:rFonts w:ascii="Arial" w:hAnsi="Arial" w:cs="Arial"/>
          <w:lang w:eastAsia="ja-JP"/>
        </w:rPr>
      </w:pPr>
      <w:r w:rsidRPr="00663F19">
        <w:rPr>
          <w:rFonts w:ascii="Arial" w:hAnsi="Arial" w:cs="Arial"/>
          <w:lang w:eastAsia="ja-JP"/>
        </w:rPr>
        <w:t xml:space="preserve">In this section, we </w:t>
      </w:r>
      <w:r w:rsidR="00623BFB" w:rsidRPr="00663F19">
        <w:rPr>
          <w:rFonts w:ascii="Arial" w:hAnsi="Arial" w:cs="Arial"/>
          <w:lang w:eastAsia="ja-JP"/>
        </w:rPr>
        <w:t>discuss the following objective related to HAPS.</w:t>
      </w:r>
    </w:p>
    <w:p w14:paraId="17FC935A" w14:textId="02E1F031" w:rsidR="00623BFB" w:rsidRPr="00623BFB" w:rsidRDefault="00623BFB" w:rsidP="008526D4">
      <w:pPr>
        <w:jc w:val="both"/>
        <w:rPr>
          <w:rFonts w:ascii="Arial" w:hAnsi="Arial" w:cs="Arial"/>
          <w:lang w:eastAsia="ja-JP"/>
        </w:rPr>
      </w:pPr>
      <w:r w:rsidRPr="00B41F6B">
        <w:rPr>
          <w:rFonts w:cs="Arial"/>
          <w:noProof/>
        </w:rPr>
        <mc:AlternateContent>
          <mc:Choice Requires="wps">
            <w:drawing>
              <wp:inline distT="0" distB="0" distL="0" distR="0" wp14:anchorId="30C84578" wp14:editId="22675CC5">
                <wp:extent cx="6120765" cy="603738"/>
                <wp:effectExtent l="0" t="0" r="13335" b="25400"/>
                <wp:docPr id="4" name="Text Box 4"/>
                <wp:cNvGraphicFramePr/>
                <a:graphic xmlns:a="http://schemas.openxmlformats.org/drawingml/2006/main">
                  <a:graphicData uri="http://schemas.microsoft.com/office/word/2010/wordprocessingShape">
                    <wps:wsp>
                      <wps:cNvSpPr txBox="1"/>
                      <wps:spPr>
                        <a:xfrm>
                          <a:off x="0" y="0"/>
                          <a:ext cx="6120765" cy="603738"/>
                        </a:xfrm>
                        <a:prstGeom prst="rect">
                          <a:avLst/>
                        </a:prstGeom>
                        <a:solidFill>
                          <a:schemeClr val="lt1"/>
                        </a:solidFill>
                        <a:ln w="6350">
                          <a:solidFill>
                            <a:prstClr val="black"/>
                          </a:solidFill>
                        </a:ln>
                      </wps:spPr>
                      <wps:txbx>
                        <w:txbxContent>
                          <w:p w14:paraId="222B7E37" w14:textId="0C6FE3E0" w:rsidR="00623BFB" w:rsidRPr="00663F19" w:rsidRDefault="00623BFB" w:rsidP="00623BFB">
                            <w:pPr>
                              <w:numPr>
                                <w:ilvl w:val="0"/>
                                <w:numId w:val="30"/>
                              </w:numPr>
                              <w:overflowPunct w:val="0"/>
                              <w:autoSpaceDE w:val="0"/>
                              <w:autoSpaceDN w:val="0"/>
                              <w:adjustRightInd w:val="0"/>
                              <w:spacing w:after="180" w:line="240" w:lineRule="auto"/>
                              <w:rPr>
                                <w:rFonts w:ascii="Arial" w:eastAsia="Times New Roman" w:hAnsi="Arial" w:cs="Arial"/>
                                <w:sz w:val="20"/>
                                <w:szCs w:val="20"/>
                              </w:rPr>
                            </w:pPr>
                            <w:r w:rsidRPr="00663F19">
                              <w:rPr>
                                <w:rFonts w:ascii="Arial" w:hAnsi="Arial" w:cs="Arial"/>
                                <w:sz w:val="20"/>
                                <w:szCs w:val="20"/>
                              </w:rPr>
                              <w:t>Verify the applicability of existing Rel-16 ANR techniques to solve PCI confusion in order to support co-channel operation between HAPS &amp; terrestrial networks and develop enhancements if needed [RAN2/3]</w:t>
                            </w:r>
                          </w:p>
                          <w:p w14:paraId="7995CCE2" w14:textId="77777777" w:rsidR="00623BFB" w:rsidRPr="00663F19" w:rsidRDefault="00623BFB" w:rsidP="00623BFB">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0C84578" id="Text Box 4" o:spid="_x0000_s1027" type="#_x0000_t202" style="width:481.95pt;height:4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" fillcolor="white [3201]" strokeweight=".5pt">
                <v:textbox>
                  <w:txbxContent>
                    <w:p w14:paraId="222B7E37" w14:textId="0C6FE3E0" w:rsidR="00623BFB" w:rsidRPr="00663F19" w:rsidRDefault="00623BFB" w:rsidP="00623BFB">
                      <w:pPr>
                        <w:numPr>
                          <w:ilvl w:val="0"/>
                          <w:numId w:val="30"/>
                        </w:numPr>
                        <w:overflowPunct w:val="0"/>
                        <w:autoSpaceDE w:val="0"/>
                        <w:autoSpaceDN w:val="0"/>
                        <w:adjustRightInd w:val="0"/>
                        <w:spacing w:after="180" w:line="240" w:lineRule="auto"/>
                        <w:rPr>
                          <w:rFonts w:ascii="Arial" w:eastAsia="Times New Roman" w:hAnsi="Arial" w:cs="Arial"/>
                          <w:sz w:val="20"/>
                          <w:szCs w:val="20"/>
                        </w:rPr>
                      </w:pPr>
                      <w:r w:rsidRPr="00663F19">
                        <w:rPr>
                          <w:rFonts w:ascii="Arial" w:hAnsi="Arial" w:cs="Arial"/>
                          <w:sz w:val="20"/>
                          <w:szCs w:val="20"/>
                        </w:rPr>
                        <w:t>Verify the applicability of existing Rel-16 ANR techniques to solve PCI confusion in order to support co-channel operation between HAPS &amp; terrestrial networks and develop enhancements if needed [RAN2/3]</w:t>
                      </w:r>
                    </w:p>
                    <w:p w14:paraId="7995CCE2" w14:textId="77777777" w:rsidR="00623BFB" w:rsidRPr="00663F19" w:rsidRDefault="00623BFB" w:rsidP="00623BFB">
                      <w:pPr>
                        <w:rPr>
                          <w:rFonts w:ascii="Arial" w:hAnsi="Arial" w:cs="Arial"/>
                        </w:rPr>
                      </w:pPr>
                    </w:p>
                  </w:txbxContent>
                </v:textbox>
                <w10:anchorlock/>
              </v:shape>
            </w:pict>
          </mc:Fallback>
        </mc:AlternateContent>
      </w:r>
    </w:p>
    <w:p w14:paraId="5442057D" w14:textId="338E9444" w:rsidR="00623BFB" w:rsidRPr="00663F19" w:rsidRDefault="00623BFB" w:rsidP="008526D4">
      <w:pPr>
        <w:jc w:val="both"/>
        <w:rPr>
          <w:rFonts w:ascii="Arial" w:hAnsi="Arial" w:cs="Arial"/>
          <w:lang w:eastAsia="ja-JP"/>
        </w:rPr>
      </w:pPr>
      <w:r w:rsidRPr="00663F19">
        <w:rPr>
          <w:rFonts w:ascii="Arial" w:hAnsi="Arial" w:cs="Arial"/>
          <w:lang w:eastAsia="ja-JP"/>
        </w:rPr>
        <w:t xml:space="preserve">As stated in the approved </w:t>
      </w:r>
      <w:r w:rsidR="005D3AB9" w:rsidRPr="00663F19">
        <w:rPr>
          <w:rFonts w:ascii="Arial" w:hAnsi="Arial" w:cs="Arial"/>
          <w:lang w:eastAsia="ja-JP"/>
        </w:rPr>
        <w:t>W</w:t>
      </w:r>
      <w:r w:rsidRPr="00663F19">
        <w:rPr>
          <w:rFonts w:ascii="Arial" w:hAnsi="Arial" w:cs="Arial"/>
          <w:lang w:eastAsia="ja-JP"/>
        </w:rPr>
        <w:t>ID, this objective on HAPS is of secondary priority. Thus, we propose that the discussion on this objective can be deferred to late stage (i.e., until the first-priority objectives have sufficiently progressed).</w:t>
      </w:r>
    </w:p>
    <w:p w14:paraId="61171CAF" w14:textId="52896CE5" w:rsidR="00623BFB" w:rsidRPr="00663F19" w:rsidRDefault="00623BFB" w:rsidP="008526D4">
      <w:pPr>
        <w:pStyle w:val="Proposal"/>
      </w:pPr>
      <w:bookmarkStart w:id="10" w:name="_Toc47626596"/>
      <w:r w:rsidRPr="00EB6DCE">
        <w:t>As the objective on HAPS is of secondary priority, its discussion can be deferred until sufficient progress has been made for the first-priority objectives.</w:t>
      </w:r>
      <w:bookmarkEnd w:id="10"/>
    </w:p>
    <w:p w14:paraId="027380A8" w14:textId="241B4EC0" w:rsidR="007E70B1" w:rsidRPr="00663F19" w:rsidRDefault="007E70B1" w:rsidP="007E70B1">
      <w:pPr>
        <w:rPr>
          <w:lang w:eastAsia="ja-JP"/>
        </w:rPr>
      </w:pPr>
    </w:p>
    <w:p w14:paraId="16184499" w14:textId="77777777" w:rsidR="00C01F33" w:rsidRPr="00CE0424" w:rsidRDefault="00C01F33" w:rsidP="00CE0424">
      <w:pPr>
        <w:pStyle w:val="Heading1"/>
      </w:pPr>
      <w:r w:rsidRPr="00CE0424">
        <w:lastRenderedPageBreak/>
        <w:t>Conclusion</w:t>
      </w:r>
    </w:p>
    <w:p w14:paraId="3C0C63AB" w14:textId="77777777" w:rsidR="008E065E" w:rsidRPr="00EB6DCE" w:rsidRDefault="008E065E" w:rsidP="008E065E">
      <w:pPr>
        <w:pStyle w:val="BodyText"/>
        <w:rPr>
          <w:b/>
          <w:bCs/>
        </w:rPr>
      </w:pPr>
      <w:r w:rsidRPr="00663F19">
        <w:t xml:space="preserve">In </w:t>
      </w:r>
      <w:r w:rsidR="007729A2" w:rsidRPr="00663F19">
        <w:t xml:space="preserve">the previous </w:t>
      </w:r>
      <w:r w:rsidRPr="00663F19">
        <w:t>section</w:t>
      </w:r>
      <w:r w:rsidR="007729A2" w:rsidRPr="00663F19">
        <w:t>s</w:t>
      </w:r>
      <w:r w:rsidRPr="00EB6DCE">
        <w:t xml:space="preserve"> we made the following observations:</w:t>
      </w:r>
      <w:r w:rsidR="00C93814" w:rsidRPr="00EB6DCE">
        <w:rPr>
          <w:b/>
          <w:bCs/>
        </w:rPr>
        <w:t xml:space="preserve"> </w:t>
      </w:r>
    </w:p>
    <w:p w14:paraId="47D3A5E1" w14:textId="135B966E" w:rsidR="00C11EFF" w:rsidRDefault="006F6582">
      <w:pPr>
        <w:pStyle w:val="TableofFigures"/>
        <w:tabs>
          <w:tab w:val="right" w:leader="dot" w:pos="9629"/>
        </w:tabs>
        <w:rPr>
          <w:rFonts w:asciiTheme="minorHAnsi" w:eastAsiaTheme="minorEastAsia" w:hAnsiTheme="minorHAnsi"/>
          <w:b w:val="0"/>
          <w:noProof/>
          <w:lang w:eastAsia="fi-FI"/>
        </w:rPr>
      </w:pPr>
      <w:r>
        <w:rPr>
          <w:b w:val="0"/>
          <w:bCs/>
        </w:rPr>
        <w:fldChar w:fldCharType="begin"/>
      </w:r>
      <w:r>
        <w:rPr>
          <w:b w:val="0"/>
          <w:bCs/>
        </w:rPr>
        <w:instrText xml:space="preserve"> TOC \f O \n \h \z \t "Observation" \c </w:instrText>
      </w:r>
      <w:r>
        <w:rPr>
          <w:b w:val="0"/>
          <w:bCs/>
        </w:rPr>
        <w:fldChar w:fldCharType="separate"/>
      </w:r>
      <w:hyperlink w:anchor="_Toc47626588" w:history="1">
        <w:r w:rsidR="00C11EFF" w:rsidRPr="001D7B2F">
          <w:rPr>
            <w:rStyle w:val="Hyperlink"/>
            <w:noProof/>
          </w:rPr>
          <w:t>Observation 1</w:t>
        </w:r>
        <w:r w:rsidR="00C11EFF">
          <w:rPr>
            <w:rFonts w:asciiTheme="minorHAnsi" w:eastAsiaTheme="minorEastAsia" w:hAnsiTheme="minorHAnsi"/>
            <w:b w:val="0"/>
            <w:noProof/>
            <w:lang w:eastAsia="fi-FI"/>
          </w:rPr>
          <w:tab/>
        </w:r>
        <w:r w:rsidR="00C11EFF" w:rsidRPr="001D7B2F">
          <w:rPr>
            <w:rStyle w:val="Hyperlink"/>
            <w:noProof/>
          </w:rPr>
          <w:t>As transparent payload is assumed in Rel-17, both feeder link and service link use the NR Uu interface.</w:t>
        </w:r>
      </w:hyperlink>
    </w:p>
    <w:p w14:paraId="1D8F8A13" w14:textId="03EE1826" w:rsidR="00C11EFF" w:rsidRDefault="00C11EFF">
      <w:pPr>
        <w:pStyle w:val="TableofFigures"/>
        <w:tabs>
          <w:tab w:val="right" w:leader="dot" w:pos="9629"/>
        </w:tabs>
        <w:rPr>
          <w:rFonts w:asciiTheme="minorHAnsi" w:eastAsiaTheme="minorEastAsia" w:hAnsiTheme="minorHAnsi"/>
          <w:b w:val="0"/>
          <w:noProof/>
          <w:lang w:eastAsia="fi-FI"/>
        </w:rPr>
      </w:pPr>
      <w:hyperlink w:anchor="_Toc47626589" w:history="1">
        <w:r w:rsidRPr="001D7B2F">
          <w:rPr>
            <w:rStyle w:val="Hyperlink"/>
            <w:noProof/>
          </w:rPr>
          <w:t>Observation 2</w:t>
        </w:r>
        <w:r>
          <w:rPr>
            <w:rFonts w:asciiTheme="minorHAnsi" w:eastAsiaTheme="minorEastAsia" w:hAnsiTheme="minorHAnsi"/>
            <w:b w:val="0"/>
            <w:noProof/>
            <w:lang w:eastAsia="fi-FI"/>
          </w:rPr>
          <w:tab/>
        </w:r>
        <w:r w:rsidRPr="001D7B2F">
          <w:rPr>
            <w:rStyle w:val="Hyperlink"/>
            <w:noProof/>
          </w:rPr>
          <w:t>Many assumptions made in Rel-16 NTN SI will not affect directly specification development and thus there is no need to reach WI agreements on those.</w:t>
        </w:r>
      </w:hyperlink>
    </w:p>
    <w:p w14:paraId="26B0AC82" w14:textId="71368748" w:rsidR="00C11EFF" w:rsidRDefault="00C11EFF">
      <w:pPr>
        <w:pStyle w:val="TableofFigures"/>
        <w:tabs>
          <w:tab w:val="right" w:leader="dot" w:pos="9629"/>
        </w:tabs>
        <w:rPr>
          <w:rFonts w:asciiTheme="minorHAnsi" w:eastAsiaTheme="minorEastAsia" w:hAnsiTheme="minorHAnsi"/>
          <w:b w:val="0"/>
          <w:noProof/>
          <w:lang w:eastAsia="fi-FI"/>
        </w:rPr>
      </w:pPr>
      <w:hyperlink w:anchor="_Toc47626590" w:history="1">
        <w:r w:rsidRPr="001D7B2F">
          <w:rPr>
            <w:rStyle w:val="Hyperlink"/>
            <w:noProof/>
          </w:rPr>
          <w:t>Observation 3</w:t>
        </w:r>
        <w:r>
          <w:rPr>
            <w:rFonts w:asciiTheme="minorHAnsi" w:eastAsiaTheme="minorEastAsia" w:hAnsiTheme="minorHAnsi"/>
            <w:b w:val="0"/>
            <w:noProof/>
            <w:lang w:eastAsia="fi-FI"/>
          </w:rPr>
          <w:tab/>
        </w:r>
        <w:r w:rsidRPr="001D7B2F">
          <w:rPr>
            <w:rStyle w:val="Hyperlink"/>
            <w:noProof/>
          </w:rPr>
          <w:t>Key assumptions that may have design impact are more pertinent for RAN1 to decide.</w:t>
        </w:r>
      </w:hyperlink>
    </w:p>
    <w:p w14:paraId="62D6B424" w14:textId="59611A4D" w:rsidR="00C11EFF" w:rsidRDefault="00C11EFF">
      <w:pPr>
        <w:pStyle w:val="TableofFigures"/>
        <w:tabs>
          <w:tab w:val="right" w:leader="dot" w:pos="9629"/>
        </w:tabs>
        <w:rPr>
          <w:rFonts w:asciiTheme="minorHAnsi" w:eastAsiaTheme="minorEastAsia" w:hAnsiTheme="minorHAnsi"/>
          <w:b w:val="0"/>
          <w:noProof/>
          <w:lang w:eastAsia="fi-FI"/>
        </w:rPr>
      </w:pPr>
      <w:hyperlink w:anchor="_Toc47626591" w:history="1">
        <w:r w:rsidRPr="001D7B2F">
          <w:rPr>
            <w:rStyle w:val="Hyperlink"/>
            <w:noProof/>
          </w:rPr>
          <w:t>Observation 4</w:t>
        </w:r>
        <w:r>
          <w:rPr>
            <w:rFonts w:asciiTheme="minorHAnsi" w:eastAsiaTheme="minorEastAsia" w:hAnsiTheme="minorHAnsi"/>
            <w:b w:val="0"/>
            <w:noProof/>
            <w:lang w:eastAsia="fi-FI"/>
          </w:rPr>
          <w:tab/>
        </w:r>
        <w:r w:rsidRPr="001D7B2F">
          <w:rPr>
            <w:rStyle w:val="Hyperlink"/>
            <w:noProof/>
          </w:rPr>
          <w:t>The l</w:t>
        </w:r>
        <w:r w:rsidRPr="001D7B2F">
          <w:rPr>
            <w:rStyle w:val="Hyperlink"/>
            <w:rFonts w:cs="Arial"/>
            <w:noProof/>
          </w:rPr>
          <w:t>ocation services should work as per current standard and we do not foresee any immediate changes needed</w:t>
        </w:r>
        <w:r w:rsidRPr="001D7B2F">
          <w:rPr>
            <w:rStyle w:val="Hyperlink"/>
            <w:noProof/>
          </w:rPr>
          <w:t>.</w:t>
        </w:r>
      </w:hyperlink>
    </w:p>
    <w:p w14:paraId="775CB46E" w14:textId="406D9AAD" w:rsidR="006E1C82" w:rsidRDefault="006F6582" w:rsidP="008E065E">
      <w:pPr>
        <w:pStyle w:val="BodyText"/>
        <w:rPr>
          <w:b/>
          <w:bCs/>
        </w:rPr>
      </w:pPr>
      <w:r>
        <w:rPr>
          <w:b/>
          <w:bCs/>
        </w:rPr>
        <w:fldChar w:fldCharType="end"/>
      </w:r>
    </w:p>
    <w:p w14:paraId="3A82D5E6" w14:textId="77777777" w:rsidR="006E1C82" w:rsidRPr="00EB6DCE" w:rsidRDefault="008E065E" w:rsidP="006E1C82">
      <w:pPr>
        <w:pStyle w:val="BodyText"/>
      </w:pPr>
      <w:r w:rsidRPr="00663F19">
        <w:t xml:space="preserve">Based on the discussion in </w:t>
      </w:r>
      <w:r w:rsidR="007729A2" w:rsidRPr="00663F19">
        <w:t xml:space="preserve">the previous </w:t>
      </w:r>
      <w:r w:rsidRPr="00663F19">
        <w:t>section</w:t>
      </w:r>
      <w:r w:rsidR="007729A2" w:rsidRPr="00EB6DCE">
        <w:t>s</w:t>
      </w:r>
      <w:r w:rsidRPr="00EB6DCE">
        <w:t xml:space="preserve"> we propose the following:</w:t>
      </w:r>
    </w:p>
    <w:p w14:paraId="7F9248C8" w14:textId="6FB0C847" w:rsidR="00C11EFF" w:rsidRDefault="006E1C82">
      <w:pPr>
        <w:pStyle w:val="TableofFigures"/>
        <w:tabs>
          <w:tab w:val="right" w:leader="dot" w:pos="9629"/>
        </w:tabs>
        <w:rPr>
          <w:rFonts w:asciiTheme="minorHAnsi" w:eastAsiaTheme="minorEastAsia" w:hAnsiTheme="minorHAnsi"/>
          <w:b w:val="0"/>
          <w:noProof/>
          <w:lang w:eastAsia="fi-FI"/>
        </w:rPr>
      </w:pPr>
      <w:r>
        <w:rPr>
          <w:b w:val="0"/>
          <w:bCs/>
        </w:rPr>
        <w:fldChar w:fldCharType="begin"/>
      </w:r>
      <w:r>
        <w:rPr>
          <w:b w:val="0"/>
          <w:bCs/>
        </w:rPr>
        <w:instrText xml:space="preserve"> TOC \n \h \z \t "Proposal" \c </w:instrText>
      </w:r>
      <w:r>
        <w:rPr>
          <w:b w:val="0"/>
          <w:bCs/>
        </w:rPr>
        <w:fldChar w:fldCharType="separate"/>
      </w:r>
      <w:hyperlink w:anchor="_Toc47626592" w:history="1">
        <w:r w:rsidR="00C11EFF" w:rsidRPr="004E1BCB">
          <w:rPr>
            <w:rStyle w:val="Hyperlink"/>
            <w:noProof/>
          </w:rPr>
          <w:t>Proposal 1</w:t>
        </w:r>
        <w:r w:rsidR="00C11EFF">
          <w:rPr>
            <w:rFonts w:asciiTheme="minorHAnsi" w:eastAsiaTheme="minorEastAsia" w:hAnsiTheme="minorHAnsi"/>
            <w:b w:val="0"/>
            <w:noProof/>
            <w:lang w:eastAsia="fi-FI"/>
          </w:rPr>
          <w:tab/>
        </w:r>
        <w:r w:rsidR="00C11EFF" w:rsidRPr="004E1BCB">
          <w:rPr>
            <w:rStyle w:val="Hyperlink"/>
            <w:noProof/>
          </w:rPr>
          <w:t>Rel-17 NR NTN WI to prioritize discussing solutions for LEO NTNs.</w:t>
        </w:r>
      </w:hyperlink>
    </w:p>
    <w:p w14:paraId="29FF1A44" w14:textId="5EB5F251" w:rsidR="00C11EFF" w:rsidRDefault="00C11EFF">
      <w:pPr>
        <w:pStyle w:val="TableofFigures"/>
        <w:tabs>
          <w:tab w:val="right" w:leader="dot" w:pos="9629"/>
        </w:tabs>
        <w:rPr>
          <w:rFonts w:asciiTheme="minorHAnsi" w:eastAsiaTheme="minorEastAsia" w:hAnsiTheme="minorHAnsi"/>
          <w:b w:val="0"/>
          <w:noProof/>
          <w:lang w:eastAsia="fi-FI"/>
        </w:rPr>
      </w:pPr>
      <w:hyperlink w:anchor="_Toc47626593" w:history="1">
        <w:r w:rsidRPr="004E1BCB">
          <w:rPr>
            <w:rStyle w:val="Hyperlink"/>
            <w:noProof/>
          </w:rPr>
          <w:t>Proposal 2</w:t>
        </w:r>
        <w:r>
          <w:rPr>
            <w:rFonts w:asciiTheme="minorHAnsi" w:eastAsiaTheme="minorEastAsia" w:hAnsiTheme="minorHAnsi"/>
            <w:b w:val="0"/>
            <w:noProof/>
            <w:lang w:eastAsia="fi-FI"/>
          </w:rPr>
          <w:tab/>
        </w:r>
        <w:r w:rsidRPr="004E1BCB">
          <w:rPr>
            <w:rStyle w:val="Hyperlink"/>
            <w:noProof/>
          </w:rPr>
          <w:t>Rel-17 NR NTN WI to prioritize considering solutions specific to Earth fixed cells.</w:t>
        </w:r>
      </w:hyperlink>
    </w:p>
    <w:p w14:paraId="3A9F750D" w14:textId="6C0C3605" w:rsidR="00C11EFF" w:rsidRDefault="00C11EFF">
      <w:pPr>
        <w:pStyle w:val="TableofFigures"/>
        <w:tabs>
          <w:tab w:val="right" w:leader="dot" w:pos="9629"/>
        </w:tabs>
        <w:rPr>
          <w:rFonts w:asciiTheme="minorHAnsi" w:eastAsiaTheme="minorEastAsia" w:hAnsiTheme="minorHAnsi"/>
          <w:b w:val="0"/>
          <w:noProof/>
          <w:lang w:eastAsia="fi-FI"/>
        </w:rPr>
      </w:pPr>
      <w:hyperlink w:anchor="_Toc47626594" w:history="1">
        <w:r w:rsidRPr="004E1BCB">
          <w:rPr>
            <w:rStyle w:val="Hyperlink"/>
            <w:noProof/>
          </w:rPr>
          <w:t>Proposal 3</w:t>
        </w:r>
        <w:r>
          <w:rPr>
            <w:rFonts w:asciiTheme="minorHAnsi" w:eastAsiaTheme="minorEastAsia" w:hAnsiTheme="minorHAnsi"/>
            <w:b w:val="0"/>
            <w:noProof/>
            <w:lang w:eastAsia="fi-FI"/>
          </w:rPr>
          <w:tab/>
        </w:r>
        <w:r w:rsidRPr="004E1BCB">
          <w:rPr>
            <w:rStyle w:val="Hyperlink"/>
            <w:noProof/>
          </w:rPr>
          <w:t>Clarify that the HAPS objective is about using HAPS as</w:t>
        </w:r>
        <w:r w:rsidRPr="004E1BCB">
          <w:rPr>
            <w:rStyle w:val="Hyperlink"/>
            <w:rFonts w:cs="Arial"/>
            <w:noProof/>
            <w:lang w:eastAsia="ja-JP"/>
          </w:rPr>
          <w:t xml:space="preserve"> IMT base stations, i.e., HIBS.</w:t>
        </w:r>
      </w:hyperlink>
    </w:p>
    <w:p w14:paraId="125A3F1B" w14:textId="1D11F6CA" w:rsidR="00C11EFF" w:rsidRDefault="00C11EFF">
      <w:pPr>
        <w:pStyle w:val="TableofFigures"/>
        <w:tabs>
          <w:tab w:val="right" w:leader="dot" w:pos="9629"/>
        </w:tabs>
        <w:rPr>
          <w:rFonts w:asciiTheme="minorHAnsi" w:eastAsiaTheme="minorEastAsia" w:hAnsiTheme="minorHAnsi"/>
          <w:b w:val="0"/>
          <w:noProof/>
          <w:lang w:eastAsia="fi-FI"/>
        </w:rPr>
      </w:pPr>
      <w:hyperlink w:anchor="_Toc47626595" w:history="1">
        <w:r w:rsidRPr="004E1BCB">
          <w:rPr>
            <w:rStyle w:val="Hyperlink"/>
            <w:noProof/>
          </w:rPr>
          <w:t>Proposal 4</w:t>
        </w:r>
        <w:r>
          <w:rPr>
            <w:rFonts w:asciiTheme="minorHAnsi" w:eastAsiaTheme="minorEastAsia" w:hAnsiTheme="minorHAnsi"/>
            <w:b w:val="0"/>
            <w:noProof/>
            <w:lang w:eastAsia="fi-FI"/>
          </w:rPr>
          <w:tab/>
        </w:r>
        <w:r w:rsidRPr="004E1BCB">
          <w:rPr>
            <w:rStyle w:val="Hyperlink"/>
            <w:noProof/>
          </w:rPr>
          <w:t>RAN2 waits for RAN1 input on e.g. delay and Doppler related assumptions.</w:t>
        </w:r>
      </w:hyperlink>
    </w:p>
    <w:p w14:paraId="2B3397F2" w14:textId="7D5744CD" w:rsidR="00C11EFF" w:rsidRDefault="00C11EFF">
      <w:pPr>
        <w:pStyle w:val="TableofFigures"/>
        <w:tabs>
          <w:tab w:val="right" w:leader="dot" w:pos="9629"/>
        </w:tabs>
        <w:rPr>
          <w:rFonts w:asciiTheme="minorHAnsi" w:eastAsiaTheme="minorEastAsia" w:hAnsiTheme="minorHAnsi"/>
          <w:b w:val="0"/>
          <w:noProof/>
          <w:lang w:eastAsia="fi-FI"/>
        </w:rPr>
      </w:pPr>
      <w:hyperlink w:anchor="_Toc47626596" w:history="1">
        <w:r w:rsidRPr="004E1BCB">
          <w:rPr>
            <w:rStyle w:val="Hyperlink"/>
            <w:noProof/>
          </w:rPr>
          <w:t>Proposal 5</w:t>
        </w:r>
        <w:r>
          <w:rPr>
            <w:rFonts w:asciiTheme="minorHAnsi" w:eastAsiaTheme="minorEastAsia" w:hAnsiTheme="minorHAnsi"/>
            <w:b w:val="0"/>
            <w:noProof/>
            <w:lang w:eastAsia="fi-FI"/>
          </w:rPr>
          <w:tab/>
        </w:r>
        <w:r w:rsidRPr="004E1BCB">
          <w:rPr>
            <w:rStyle w:val="Hyperlink"/>
            <w:noProof/>
          </w:rPr>
          <w:t>As the objective on HAPS is of secondary priority, its discussion can be deferred until sufficient progress has been made for the first-priority objectives.</w:t>
        </w:r>
      </w:hyperlink>
    </w:p>
    <w:p w14:paraId="26EBCCF9" w14:textId="7948F956" w:rsidR="00C01F33" w:rsidRPr="009C2D28" w:rsidRDefault="006E1C82" w:rsidP="009C2D28">
      <w:pPr>
        <w:pStyle w:val="BodyText"/>
        <w:rPr>
          <w:b/>
          <w:bCs/>
        </w:rPr>
      </w:pPr>
      <w:r>
        <w:rPr>
          <w:b/>
          <w:bCs/>
        </w:rPr>
        <w:fldChar w:fldCharType="end"/>
      </w:r>
    </w:p>
    <w:p w14:paraId="3F23459F" w14:textId="77777777" w:rsidR="00F507D1" w:rsidRPr="00CE0424" w:rsidRDefault="00F507D1" w:rsidP="00CE0424">
      <w:pPr>
        <w:pStyle w:val="Heading1"/>
      </w:pPr>
      <w:bookmarkStart w:id="11" w:name="_In-sequence_SDU_delivery"/>
      <w:bookmarkEnd w:id="11"/>
      <w:r w:rsidRPr="00CE0424">
        <w:t>References</w:t>
      </w:r>
    </w:p>
    <w:p w14:paraId="03BE2943" w14:textId="46612451" w:rsidR="003A7EF3" w:rsidRPr="00EB6DCE" w:rsidRDefault="002A2A3F" w:rsidP="00CE0424">
      <w:pPr>
        <w:pStyle w:val="Reference"/>
      </w:pPr>
      <w:bookmarkStart w:id="12" w:name="_Ref42716514"/>
      <w:bookmarkStart w:id="13" w:name="_Ref45286859"/>
      <w:bookmarkStart w:id="14" w:name="_Ref174151459"/>
      <w:bookmarkStart w:id="15" w:name="_Ref189809556"/>
      <w:r w:rsidRPr="00663F19">
        <w:t>RP-</w:t>
      </w:r>
      <w:r w:rsidR="0015455E" w:rsidRPr="00663F19">
        <w:t>201256</w:t>
      </w:r>
      <w:r w:rsidRPr="00663F19">
        <w:t>, “</w:t>
      </w:r>
      <w:r w:rsidR="0015455E" w:rsidRPr="00663F19">
        <w:rPr>
          <w:rFonts w:eastAsia="Batang" w:cs="Arial"/>
        </w:rPr>
        <w:t>Solutions for NR to support non-terrestrial networks (NTN)</w:t>
      </w:r>
      <w:r w:rsidR="002827FD" w:rsidRPr="00EB6DCE">
        <w:rPr>
          <w:rFonts w:eastAsia="Batang" w:cs="Arial"/>
        </w:rPr>
        <w:t>,</w:t>
      </w:r>
      <w:r w:rsidRPr="00EB6DCE">
        <w:t>” 3GPP TSG RAN #8</w:t>
      </w:r>
      <w:r w:rsidR="0015455E" w:rsidRPr="00EB6DCE">
        <w:t>8e</w:t>
      </w:r>
      <w:r w:rsidRPr="00EB6DCE">
        <w:t xml:space="preserve">, </w:t>
      </w:r>
      <w:r w:rsidR="0015455E" w:rsidRPr="00EB6DCE">
        <w:t>June</w:t>
      </w:r>
      <w:r w:rsidRPr="00EB6DCE">
        <w:t xml:space="preserve"> 20</w:t>
      </w:r>
      <w:bookmarkEnd w:id="12"/>
      <w:r w:rsidR="0015455E" w:rsidRPr="00EB6DCE">
        <w:t>20</w:t>
      </w:r>
      <w:r w:rsidR="004D4967" w:rsidRPr="00EB6DCE">
        <w:t>.</w:t>
      </w:r>
      <w:bookmarkEnd w:id="13"/>
      <w:bookmarkEnd w:id="14"/>
      <w:bookmarkEnd w:id="15"/>
    </w:p>
    <w:p w14:paraId="5C151C33" w14:textId="0A2920C6" w:rsidR="007E70B1" w:rsidRPr="00EB6DCE" w:rsidRDefault="000963FB" w:rsidP="00CE0424">
      <w:pPr>
        <w:pStyle w:val="Reference"/>
      </w:pPr>
      <w:bookmarkStart w:id="16" w:name="_Ref45301066"/>
      <w:r w:rsidRPr="00EB6DCE">
        <w:t>TR 38.821, “Solutions for NR to support Non-Terrestrial Networks (NTN),” V16.0.0.</w:t>
      </w:r>
      <w:bookmarkEnd w:id="16"/>
    </w:p>
    <w:p w14:paraId="66DAF18B" w14:textId="4E948B1E" w:rsidR="002827FD" w:rsidRPr="00EB6DCE" w:rsidRDefault="002827FD" w:rsidP="002827FD">
      <w:pPr>
        <w:pStyle w:val="Reference"/>
      </w:pPr>
      <w:bookmarkStart w:id="17" w:name="_Ref45375048"/>
      <w:r w:rsidRPr="00EB6DCE">
        <w:t>RP-201331, “Work areas of RAN4 R17 non-spectrum related WI/SIs,” 3GPP TSG RAN #88e, June 2020.</w:t>
      </w:r>
      <w:bookmarkEnd w:id="17"/>
    </w:p>
    <w:sectPr w:rsidR="002827FD" w:rsidRPr="00EB6DC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FFB8908" w16cex:dateUtc="2020-07-29T15:00:00Z"/>
  <w16cex:commentExtensible w16cex:durableId="5921B01E" w16cex:dateUtc="2020-07-31T09:34:00Z"/>
  <w16cex:commentExtensible w16cex:durableId="63B4FD00" w16cex:dateUtc="2020-07-29T15:05:00Z"/>
  <w16cex:commentExtensible w16cex:durableId="6827522F" w16cex:dateUtc="2020-07-29T15: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EE1D0" w14:textId="77777777" w:rsidR="00AD3910" w:rsidRDefault="00AD3910">
      <w:r>
        <w:separator/>
      </w:r>
    </w:p>
  </w:endnote>
  <w:endnote w:type="continuationSeparator" w:id="0">
    <w:p w14:paraId="1CBC208B" w14:textId="77777777" w:rsidR="00AD3910" w:rsidRDefault="00AD3910">
      <w:r>
        <w:continuationSeparator/>
      </w:r>
    </w:p>
  </w:endnote>
  <w:endnote w:type="continuationNotice" w:id="1">
    <w:p w14:paraId="440729E5" w14:textId="77777777" w:rsidR="00AD3910" w:rsidRDefault="00AD39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951F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87627" w14:textId="77777777" w:rsidR="00AD3910" w:rsidRDefault="00AD3910">
      <w:r>
        <w:separator/>
      </w:r>
    </w:p>
  </w:footnote>
  <w:footnote w:type="continuationSeparator" w:id="0">
    <w:p w14:paraId="2918ECD9" w14:textId="77777777" w:rsidR="00AD3910" w:rsidRDefault="00AD3910">
      <w:r>
        <w:continuationSeparator/>
      </w:r>
    </w:p>
  </w:footnote>
  <w:footnote w:type="continuationNotice" w:id="1">
    <w:p w14:paraId="73A85E12" w14:textId="77777777" w:rsidR="00AD3910" w:rsidRDefault="00AD39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49FE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16"/>
  </w:num>
  <w:num w:numId="4">
    <w:abstractNumId w:val="17"/>
  </w:num>
  <w:num w:numId="5">
    <w:abstractNumId w:val="13"/>
  </w:num>
  <w:num w:numId="6">
    <w:abstractNumId w:val="19"/>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7"/>
  </w:num>
  <w:num w:numId="17">
    <w:abstractNumId w:val="10"/>
  </w:num>
  <w:num w:numId="18">
    <w:abstractNumId w:val="11"/>
  </w:num>
  <w:num w:numId="19">
    <w:abstractNumId w:val="7"/>
  </w:num>
  <w:num w:numId="20">
    <w:abstractNumId w:val="30"/>
  </w:num>
  <w:num w:numId="21">
    <w:abstractNumId w:val="15"/>
  </w:num>
  <w:num w:numId="22">
    <w:abstractNumId w:val="29"/>
  </w:num>
  <w:num w:numId="23">
    <w:abstractNumId w:val="8"/>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28"/>
  </w:num>
  <w:num w:numId="27">
    <w:abstractNumId w:val="3"/>
  </w:num>
  <w:num w:numId="28">
    <w:abstractNumId w:val="4"/>
  </w:num>
  <w:num w:numId="29">
    <w:abstractNumId w:val="22"/>
  </w:num>
  <w:num w:numId="30">
    <w:abstractNumId w:val="6"/>
  </w:num>
  <w:num w:numId="31">
    <w:abstractNumId w:val="25"/>
  </w:num>
  <w:num w:numId="32">
    <w:abstractNumId w:val="31"/>
  </w:num>
  <w:num w:numId="33">
    <w:abstractNumId w:val="20"/>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A37"/>
    <w:rsid w:val="0000564C"/>
    <w:rsid w:val="000062F7"/>
    <w:rsid w:val="00006446"/>
    <w:rsid w:val="00006896"/>
    <w:rsid w:val="00007CDC"/>
    <w:rsid w:val="00011B28"/>
    <w:rsid w:val="000143C1"/>
    <w:rsid w:val="00015D15"/>
    <w:rsid w:val="00021CC0"/>
    <w:rsid w:val="0002430F"/>
    <w:rsid w:val="0002564D"/>
    <w:rsid w:val="00025ECA"/>
    <w:rsid w:val="00030AAF"/>
    <w:rsid w:val="000325B8"/>
    <w:rsid w:val="00034C15"/>
    <w:rsid w:val="00036BA1"/>
    <w:rsid w:val="00037FC4"/>
    <w:rsid w:val="00040CB3"/>
    <w:rsid w:val="000422E2"/>
    <w:rsid w:val="00042F22"/>
    <w:rsid w:val="000444EF"/>
    <w:rsid w:val="00047284"/>
    <w:rsid w:val="00052A07"/>
    <w:rsid w:val="00052C6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3FB"/>
    <w:rsid w:val="000A0885"/>
    <w:rsid w:val="000A1B7B"/>
    <w:rsid w:val="000A56F2"/>
    <w:rsid w:val="000B2719"/>
    <w:rsid w:val="000B3A8F"/>
    <w:rsid w:val="000B4AB9"/>
    <w:rsid w:val="000B58C3"/>
    <w:rsid w:val="000B61E9"/>
    <w:rsid w:val="000B7065"/>
    <w:rsid w:val="000C165A"/>
    <w:rsid w:val="000C2E19"/>
    <w:rsid w:val="000C395B"/>
    <w:rsid w:val="000D0D07"/>
    <w:rsid w:val="000D4797"/>
    <w:rsid w:val="000E0527"/>
    <w:rsid w:val="000E1E92"/>
    <w:rsid w:val="000E5C9F"/>
    <w:rsid w:val="000F06D6"/>
    <w:rsid w:val="000F0B66"/>
    <w:rsid w:val="000F0EB1"/>
    <w:rsid w:val="000F1106"/>
    <w:rsid w:val="000F3BE9"/>
    <w:rsid w:val="000F3F6C"/>
    <w:rsid w:val="000F6DF3"/>
    <w:rsid w:val="000F718E"/>
    <w:rsid w:val="000F79F0"/>
    <w:rsid w:val="0010027D"/>
    <w:rsid w:val="001005FF"/>
    <w:rsid w:val="001037E0"/>
    <w:rsid w:val="001062FB"/>
    <w:rsid w:val="001063E6"/>
    <w:rsid w:val="0010725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9C0"/>
    <w:rsid w:val="0014763D"/>
    <w:rsid w:val="00151E23"/>
    <w:rsid w:val="001526E0"/>
    <w:rsid w:val="0015455E"/>
    <w:rsid w:val="001551B5"/>
    <w:rsid w:val="00156282"/>
    <w:rsid w:val="001659C1"/>
    <w:rsid w:val="00173A8E"/>
    <w:rsid w:val="0017502C"/>
    <w:rsid w:val="00177C20"/>
    <w:rsid w:val="0018143F"/>
    <w:rsid w:val="00181FF8"/>
    <w:rsid w:val="00190AC1"/>
    <w:rsid w:val="0019341A"/>
    <w:rsid w:val="00197DF9"/>
    <w:rsid w:val="001A1987"/>
    <w:rsid w:val="001A2564"/>
    <w:rsid w:val="001A6173"/>
    <w:rsid w:val="001A6CBA"/>
    <w:rsid w:val="001B0204"/>
    <w:rsid w:val="001B0D97"/>
    <w:rsid w:val="001B2EE6"/>
    <w:rsid w:val="001B3911"/>
    <w:rsid w:val="001B4ED0"/>
    <w:rsid w:val="001B5A5D"/>
    <w:rsid w:val="001B5B3E"/>
    <w:rsid w:val="001C1A25"/>
    <w:rsid w:val="001C1CE5"/>
    <w:rsid w:val="001C3D2A"/>
    <w:rsid w:val="001C404E"/>
    <w:rsid w:val="001C4ADA"/>
    <w:rsid w:val="001D07FB"/>
    <w:rsid w:val="001D32F8"/>
    <w:rsid w:val="001D388B"/>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240"/>
    <w:rsid w:val="00230765"/>
    <w:rsid w:val="00230D18"/>
    <w:rsid w:val="002319E4"/>
    <w:rsid w:val="00232D35"/>
    <w:rsid w:val="00235632"/>
    <w:rsid w:val="00235872"/>
    <w:rsid w:val="00237B86"/>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7FD"/>
    <w:rsid w:val="0028280A"/>
    <w:rsid w:val="00286ACD"/>
    <w:rsid w:val="00287838"/>
    <w:rsid w:val="002907B5"/>
    <w:rsid w:val="00292EB7"/>
    <w:rsid w:val="00296227"/>
    <w:rsid w:val="00296F44"/>
    <w:rsid w:val="0029777D"/>
    <w:rsid w:val="002A055E"/>
    <w:rsid w:val="002A1D4E"/>
    <w:rsid w:val="002A2869"/>
    <w:rsid w:val="002A2A3F"/>
    <w:rsid w:val="002B24D6"/>
    <w:rsid w:val="002C41E6"/>
    <w:rsid w:val="002D071A"/>
    <w:rsid w:val="002D3325"/>
    <w:rsid w:val="002D34B2"/>
    <w:rsid w:val="002D48B0"/>
    <w:rsid w:val="002D5B37"/>
    <w:rsid w:val="002D7637"/>
    <w:rsid w:val="002E17F2"/>
    <w:rsid w:val="002E7CAE"/>
    <w:rsid w:val="002F13E4"/>
    <w:rsid w:val="002F2771"/>
    <w:rsid w:val="002F37A9"/>
    <w:rsid w:val="00301CE6"/>
    <w:rsid w:val="0030256B"/>
    <w:rsid w:val="0030501F"/>
    <w:rsid w:val="00306360"/>
    <w:rsid w:val="00307BA1"/>
    <w:rsid w:val="00311702"/>
    <w:rsid w:val="00311E82"/>
    <w:rsid w:val="00313FD6"/>
    <w:rsid w:val="003143BD"/>
    <w:rsid w:val="00315363"/>
    <w:rsid w:val="003203ED"/>
    <w:rsid w:val="003208AE"/>
    <w:rsid w:val="003208B1"/>
    <w:rsid w:val="00322A1B"/>
    <w:rsid w:val="00322C9F"/>
    <w:rsid w:val="00324D23"/>
    <w:rsid w:val="00331751"/>
    <w:rsid w:val="00334579"/>
    <w:rsid w:val="00335858"/>
    <w:rsid w:val="00336BDA"/>
    <w:rsid w:val="00342BD7"/>
    <w:rsid w:val="0034367C"/>
    <w:rsid w:val="00346DB5"/>
    <w:rsid w:val="003477B1"/>
    <w:rsid w:val="00351F7F"/>
    <w:rsid w:val="003532C9"/>
    <w:rsid w:val="00357380"/>
    <w:rsid w:val="0035774C"/>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2F7"/>
    <w:rsid w:val="003B64BB"/>
    <w:rsid w:val="003B7FE5"/>
    <w:rsid w:val="003C11C8"/>
    <w:rsid w:val="003C2702"/>
    <w:rsid w:val="003C7806"/>
    <w:rsid w:val="003D109F"/>
    <w:rsid w:val="003D2478"/>
    <w:rsid w:val="003D3C45"/>
    <w:rsid w:val="003D5B1F"/>
    <w:rsid w:val="003E15FA"/>
    <w:rsid w:val="003E55E4"/>
    <w:rsid w:val="003E74E3"/>
    <w:rsid w:val="003E7A6F"/>
    <w:rsid w:val="003F05C7"/>
    <w:rsid w:val="003F2CD4"/>
    <w:rsid w:val="003F320A"/>
    <w:rsid w:val="003F558D"/>
    <w:rsid w:val="003F6BBE"/>
    <w:rsid w:val="004000E8"/>
    <w:rsid w:val="00402E2B"/>
    <w:rsid w:val="00403277"/>
    <w:rsid w:val="0040512B"/>
    <w:rsid w:val="00405CA5"/>
    <w:rsid w:val="00407CD3"/>
    <w:rsid w:val="00410134"/>
    <w:rsid w:val="00410B72"/>
    <w:rsid w:val="00410F18"/>
    <w:rsid w:val="0041263E"/>
    <w:rsid w:val="00413AAC"/>
    <w:rsid w:val="00413E92"/>
    <w:rsid w:val="00416782"/>
    <w:rsid w:val="00421105"/>
    <w:rsid w:val="00422AA4"/>
    <w:rsid w:val="0042414C"/>
    <w:rsid w:val="004242F4"/>
    <w:rsid w:val="00427248"/>
    <w:rsid w:val="00437447"/>
    <w:rsid w:val="00441A92"/>
    <w:rsid w:val="0044229B"/>
    <w:rsid w:val="004431DC"/>
    <w:rsid w:val="00444F56"/>
    <w:rsid w:val="00446488"/>
    <w:rsid w:val="00447DCB"/>
    <w:rsid w:val="004517AA"/>
    <w:rsid w:val="00452CAC"/>
    <w:rsid w:val="00457565"/>
    <w:rsid w:val="00457B71"/>
    <w:rsid w:val="00464689"/>
    <w:rsid w:val="0046597C"/>
    <w:rsid w:val="004669E2"/>
    <w:rsid w:val="00470473"/>
    <w:rsid w:val="00470C31"/>
    <w:rsid w:val="00471DE0"/>
    <w:rsid w:val="004734D0"/>
    <w:rsid w:val="0047556B"/>
    <w:rsid w:val="004756CB"/>
    <w:rsid w:val="00477768"/>
    <w:rsid w:val="00492BC5"/>
    <w:rsid w:val="004964F1"/>
    <w:rsid w:val="004A16BC"/>
    <w:rsid w:val="004A27F6"/>
    <w:rsid w:val="004A2B94"/>
    <w:rsid w:val="004B6F6A"/>
    <w:rsid w:val="004B7C0C"/>
    <w:rsid w:val="004C3898"/>
    <w:rsid w:val="004D10E7"/>
    <w:rsid w:val="004D1987"/>
    <w:rsid w:val="004D24DB"/>
    <w:rsid w:val="004D36B1"/>
    <w:rsid w:val="004D4967"/>
    <w:rsid w:val="004D7EBD"/>
    <w:rsid w:val="004E2680"/>
    <w:rsid w:val="004E28F9"/>
    <w:rsid w:val="004E319F"/>
    <w:rsid w:val="004E462E"/>
    <w:rsid w:val="004E56DC"/>
    <w:rsid w:val="004E76F4"/>
    <w:rsid w:val="004F0B4E"/>
    <w:rsid w:val="004F0B6C"/>
    <w:rsid w:val="004F2078"/>
    <w:rsid w:val="004F4DA3"/>
    <w:rsid w:val="00506557"/>
    <w:rsid w:val="0050677A"/>
    <w:rsid w:val="005108D8"/>
    <w:rsid w:val="005116F9"/>
    <w:rsid w:val="005153A7"/>
    <w:rsid w:val="005219CF"/>
    <w:rsid w:val="005253CF"/>
    <w:rsid w:val="00532029"/>
    <w:rsid w:val="00534B59"/>
    <w:rsid w:val="00536759"/>
    <w:rsid w:val="00537C62"/>
    <w:rsid w:val="00546970"/>
    <w:rsid w:val="00553466"/>
    <w:rsid w:val="00554E19"/>
    <w:rsid w:val="0056121F"/>
    <w:rsid w:val="00572505"/>
    <w:rsid w:val="00573652"/>
    <w:rsid w:val="00582809"/>
    <w:rsid w:val="0058798C"/>
    <w:rsid w:val="005900FA"/>
    <w:rsid w:val="005935A4"/>
    <w:rsid w:val="005948C2"/>
    <w:rsid w:val="00595DCA"/>
    <w:rsid w:val="0059779B"/>
    <w:rsid w:val="005A209A"/>
    <w:rsid w:val="005A4CF7"/>
    <w:rsid w:val="005A6410"/>
    <w:rsid w:val="005A662D"/>
    <w:rsid w:val="005B1409"/>
    <w:rsid w:val="005B331D"/>
    <w:rsid w:val="005B35D7"/>
    <w:rsid w:val="005B392A"/>
    <w:rsid w:val="005B3AA3"/>
    <w:rsid w:val="005B43E6"/>
    <w:rsid w:val="005B6F83"/>
    <w:rsid w:val="005C4A57"/>
    <w:rsid w:val="005C74FB"/>
    <w:rsid w:val="005D1602"/>
    <w:rsid w:val="005D3AB9"/>
    <w:rsid w:val="005E1238"/>
    <w:rsid w:val="005E385F"/>
    <w:rsid w:val="005E5B81"/>
    <w:rsid w:val="005E7211"/>
    <w:rsid w:val="005F1727"/>
    <w:rsid w:val="005F1BA8"/>
    <w:rsid w:val="005F2CB1"/>
    <w:rsid w:val="005F3025"/>
    <w:rsid w:val="005F618C"/>
    <w:rsid w:val="005F70BD"/>
    <w:rsid w:val="0060283C"/>
    <w:rsid w:val="00604F14"/>
    <w:rsid w:val="00611B83"/>
    <w:rsid w:val="00613257"/>
    <w:rsid w:val="00617C64"/>
    <w:rsid w:val="00620A71"/>
    <w:rsid w:val="00620D80"/>
    <w:rsid w:val="006234A6"/>
    <w:rsid w:val="00623BFB"/>
    <w:rsid w:val="00630001"/>
    <w:rsid w:val="006311B3"/>
    <w:rsid w:val="0063284C"/>
    <w:rsid w:val="00636398"/>
    <w:rsid w:val="006368D3"/>
    <w:rsid w:val="006377EC"/>
    <w:rsid w:val="00641236"/>
    <w:rsid w:val="0064151F"/>
    <w:rsid w:val="00641533"/>
    <w:rsid w:val="0064208D"/>
    <w:rsid w:val="00643475"/>
    <w:rsid w:val="0064396A"/>
    <w:rsid w:val="0064624E"/>
    <w:rsid w:val="00650AB9"/>
    <w:rsid w:val="00650CBF"/>
    <w:rsid w:val="00655733"/>
    <w:rsid w:val="00655ACD"/>
    <w:rsid w:val="00656A92"/>
    <w:rsid w:val="00656DDE"/>
    <w:rsid w:val="0066011D"/>
    <w:rsid w:val="006607C0"/>
    <w:rsid w:val="006613A6"/>
    <w:rsid w:val="006627A2"/>
    <w:rsid w:val="006634E6"/>
    <w:rsid w:val="00663F19"/>
    <w:rsid w:val="006655EE"/>
    <w:rsid w:val="00667951"/>
    <w:rsid w:val="00667EE7"/>
    <w:rsid w:val="00670922"/>
    <w:rsid w:val="00670BE1"/>
    <w:rsid w:val="0067218F"/>
    <w:rsid w:val="00672C9A"/>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E8A"/>
    <w:rsid w:val="006B50CF"/>
    <w:rsid w:val="006B6367"/>
    <w:rsid w:val="006C03B8"/>
    <w:rsid w:val="006C19A1"/>
    <w:rsid w:val="006C5EC9"/>
    <w:rsid w:val="006C6059"/>
    <w:rsid w:val="006C7522"/>
    <w:rsid w:val="006D23A6"/>
    <w:rsid w:val="006D6F08"/>
    <w:rsid w:val="006D7D51"/>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07B"/>
    <w:rsid w:val="0070346E"/>
    <w:rsid w:val="00704EDB"/>
    <w:rsid w:val="00706101"/>
    <w:rsid w:val="00707072"/>
    <w:rsid w:val="00707D61"/>
    <w:rsid w:val="00712287"/>
    <w:rsid w:val="00712772"/>
    <w:rsid w:val="007148D3"/>
    <w:rsid w:val="00715B9A"/>
    <w:rsid w:val="007257D0"/>
    <w:rsid w:val="00726EA6"/>
    <w:rsid w:val="00727208"/>
    <w:rsid w:val="007273E4"/>
    <w:rsid w:val="00727680"/>
    <w:rsid w:val="007324FE"/>
    <w:rsid w:val="007348B1"/>
    <w:rsid w:val="007362A6"/>
    <w:rsid w:val="00736D7D"/>
    <w:rsid w:val="007406CA"/>
    <w:rsid w:val="00740E58"/>
    <w:rsid w:val="007445A0"/>
    <w:rsid w:val="0074524B"/>
    <w:rsid w:val="00747D8B"/>
    <w:rsid w:val="00751228"/>
    <w:rsid w:val="007571E1"/>
    <w:rsid w:val="007604B2"/>
    <w:rsid w:val="00762FB4"/>
    <w:rsid w:val="00765281"/>
    <w:rsid w:val="00766BAD"/>
    <w:rsid w:val="00771318"/>
    <w:rsid w:val="007729A2"/>
    <w:rsid w:val="00772B62"/>
    <w:rsid w:val="007755F2"/>
    <w:rsid w:val="00776971"/>
    <w:rsid w:val="00777C4D"/>
    <w:rsid w:val="00780A80"/>
    <w:rsid w:val="0078177E"/>
    <w:rsid w:val="0078304C"/>
    <w:rsid w:val="00783673"/>
    <w:rsid w:val="00784EF4"/>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515"/>
    <w:rsid w:val="007D7526"/>
    <w:rsid w:val="007E3565"/>
    <w:rsid w:val="007E4610"/>
    <w:rsid w:val="007E4715"/>
    <w:rsid w:val="007E505B"/>
    <w:rsid w:val="007E7091"/>
    <w:rsid w:val="007E70B1"/>
    <w:rsid w:val="007F490B"/>
    <w:rsid w:val="00803FAE"/>
    <w:rsid w:val="0080605F"/>
    <w:rsid w:val="00807786"/>
    <w:rsid w:val="00811FCB"/>
    <w:rsid w:val="008158D6"/>
    <w:rsid w:val="00817196"/>
    <w:rsid w:val="008235DB"/>
    <w:rsid w:val="00824AB4"/>
    <w:rsid w:val="00825C42"/>
    <w:rsid w:val="00825D25"/>
    <w:rsid w:val="00827D6F"/>
    <w:rsid w:val="008307C0"/>
    <w:rsid w:val="008376AC"/>
    <w:rsid w:val="008444E8"/>
    <w:rsid w:val="008445EB"/>
    <w:rsid w:val="00844E80"/>
    <w:rsid w:val="00846FE7"/>
    <w:rsid w:val="008526D4"/>
    <w:rsid w:val="00856911"/>
    <w:rsid w:val="008569E5"/>
    <w:rsid w:val="008677FD"/>
    <w:rsid w:val="008706D4"/>
    <w:rsid w:val="00870F8A"/>
    <w:rsid w:val="008719A4"/>
    <w:rsid w:val="00871D23"/>
    <w:rsid w:val="00872FB3"/>
    <w:rsid w:val="00874312"/>
    <w:rsid w:val="0087437C"/>
    <w:rsid w:val="00875CD7"/>
    <w:rsid w:val="00876B4D"/>
    <w:rsid w:val="00877F18"/>
    <w:rsid w:val="008941E3"/>
    <w:rsid w:val="00894A88"/>
    <w:rsid w:val="00895386"/>
    <w:rsid w:val="0089716D"/>
    <w:rsid w:val="008A21FF"/>
    <w:rsid w:val="008A2CE2"/>
    <w:rsid w:val="008A30AC"/>
    <w:rsid w:val="008A44B8"/>
    <w:rsid w:val="008A51A8"/>
    <w:rsid w:val="008A54C7"/>
    <w:rsid w:val="008A77D8"/>
    <w:rsid w:val="008B0483"/>
    <w:rsid w:val="008B120C"/>
    <w:rsid w:val="008B51A0"/>
    <w:rsid w:val="008B592A"/>
    <w:rsid w:val="008B716E"/>
    <w:rsid w:val="008B7B5C"/>
    <w:rsid w:val="008C0C99"/>
    <w:rsid w:val="008C2017"/>
    <w:rsid w:val="008C27B4"/>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5103"/>
    <w:rsid w:val="00902350"/>
    <w:rsid w:val="0090336B"/>
    <w:rsid w:val="009053AA"/>
    <w:rsid w:val="00906939"/>
    <w:rsid w:val="00910B7D"/>
    <w:rsid w:val="00911DFB"/>
    <w:rsid w:val="009139D9"/>
    <w:rsid w:val="00914AD8"/>
    <w:rsid w:val="00916079"/>
    <w:rsid w:val="00917CE9"/>
    <w:rsid w:val="0092075B"/>
    <w:rsid w:val="00920BF2"/>
    <w:rsid w:val="00922010"/>
    <w:rsid w:val="0092735F"/>
    <w:rsid w:val="00931BD9"/>
    <w:rsid w:val="009368F3"/>
    <w:rsid w:val="00941636"/>
    <w:rsid w:val="0094258A"/>
    <w:rsid w:val="00943742"/>
    <w:rsid w:val="00945C05"/>
    <w:rsid w:val="00946945"/>
    <w:rsid w:val="00947713"/>
    <w:rsid w:val="00950DE7"/>
    <w:rsid w:val="00953920"/>
    <w:rsid w:val="00953D47"/>
    <w:rsid w:val="00954C25"/>
    <w:rsid w:val="0095681E"/>
    <w:rsid w:val="009572D4"/>
    <w:rsid w:val="00961921"/>
    <w:rsid w:val="0096430A"/>
    <w:rsid w:val="0096554B"/>
    <w:rsid w:val="0096584A"/>
    <w:rsid w:val="00971F08"/>
    <w:rsid w:val="0097603D"/>
    <w:rsid w:val="00976949"/>
    <w:rsid w:val="00980477"/>
    <w:rsid w:val="00984436"/>
    <w:rsid w:val="00985253"/>
    <w:rsid w:val="009853B3"/>
    <w:rsid w:val="00990630"/>
    <w:rsid w:val="00991761"/>
    <w:rsid w:val="00994DCA"/>
    <w:rsid w:val="009960EC"/>
    <w:rsid w:val="009970DD"/>
    <w:rsid w:val="009A0FBA"/>
    <w:rsid w:val="009A1601"/>
    <w:rsid w:val="009A3BB6"/>
    <w:rsid w:val="009A4091"/>
    <w:rsid w:val="009A462D"/>
    <w:rsid w:val="009A5CBA"/>
    <w:rsid w:val="009B1F30"/>
    <w:rsid w:val="009B3AC2"/>
    <w:rsid w:val="009B3C5D"/>
    <w:rsid w:val="009B4DF4"/>
    <w:rsid w:val="009B564E"/>
    <w:rsid w:val="009B613C"/>
    <w:rsid w:val="009B7E87"/>
    <w:rsid w:val="009C0169"/>
    <w:rsid w:val="009C2D28"/>
    <w:rsid w:val="009C403E"/>
    <w:rsid w:val="009D18B0"/>
    <w:rsid w:val="009D4BAD"/>
    <w:rsid w:val="009D4FF0"/>
    <w:rsid w:val="009D703C"/>
    <w:rsid w:val="009D718F"/>
    <w:rsid w:val="009E068F"/>
    <w:rsid w:val="009E14E0"/>
    <w:rsid w:val="009E35DB"/>
    <w:rsid w:val="009E47A3"/>
    <w:rsid w:val="009F08F3"/>
    <w:rsid w:val="009F0A93"/>
    <w:rsid w:val="009F344F"/>
    <w:rsid w:val="009F3917"/>
    <w:rsid w:val="00A031D8"/>
    <w:rsid w:val="00A048A8"/>
    <w:rsid w:val="00A04F49"/>
    <w:rsid w:val="00A11B5D"/>
    <w:rsid w:val="00A13E54"/>
    <w:rsid w:val="00A1742D"/>
    <w:rsid w:val="00A17F63"/>
    <w:rsid w:val="00A20735"/>
    <w:rsid w:val="00A2193B"/>
    <w:rsid w:val="00A2351A"/>
    <w:rsid w:val="00A264A9"/>
    <w:rsid w:val="00A26DCF"/>
    <w:rsid w:val="00A27785"/>
    <w:rsid w:val="00A30187"/>
    <w:rsid w:val="00A3448A"/>
    <w:rsid w:val="00A36297"/>
    <w:rsid w:val="00A41E2B"/>
    <w:rsid w:val="00A43547"/>
    <w:rsid w:val="00A45B74"/>
    <w:rsid w:val="00A5265A"/>
    <w:rsid w:val="00A52E1D"/>
    <w:rsid w:val="00A61499"/>
    <w:rsid w:val="00A62A77"/>
    <w:rsid w:val="00A63483"/>
    <w:rsid w:val="00A657D7"/>
    <w:rsid w:val="00A660AC"/>
    <w:rsid w:val="00A67E6C"/>
    <w:rsid w:val="00A71B99"/>
    <w:rsid w:val="00A739D0"/>
    <w:rsid w:val="00A7589E"/>
    <w:rsid w:val="00A761D4"/>
    <w:rsid w:val="00A77EC4"/>
    <w:rsid w:val="00A82C95"/>
    <w:rsid w:val="00A92879"/>
    <w:rsid w:val="00A93666"/>
    <w:rsid w:val="00A9442A"/>
    <w:rsid w:val="00AA016F"/>
    <w:rsid w:val="00AA1ED6"/>
    <w:rsid w:val="00AA51D6"/>
    <w:rsid w:val="00AA7067"/>
    <w:rsid w:val="00AB0848"/>
    <w:rsid w:val="00AB0BC8"/>
    <w:rsid w:val="00AB1180"/>
    <w:rsid w:val="00AB11CA"/>
    <w:rsid w:val="00AB14D9"/>
    <w:rsid w:val="00AB4AB8"/>
    <w:rsid w:val="00AB655E"/>
    <w:rsid w:val="00AC007F"/>
    <w:rsid w:val="00AC2ECD"/>
    <w:rsid w:val="00AC3119"/>
    <w:rsid w:val="00AC49FB"/>
    <w:rsid w:val="00AC5A10"/>
    <w:rsid w:val="00AC72B4"/>
    <w:rsid w:val="00AD0AA3"/>
    <w:rsid w:val="00AD19CA"/>
    <w:rsid w:val="00AD2ED0"/>
    <w:rsid w:val="00AD3910"/>
    <w:rsid w:val="00AD3F94"/>
    <w:rsid w:val="00AD4A5A"/>
    <w:rsid w:val="00AD7140"/>
    <w:rsid w:val="00AE27AC"/>
    <w:rsid w:val="00AE40E0"/>
    <w:rsid w:val="00AE4DBA"/>
    <w:rsid w:val="00AE4F07"/>
    <w:rsid w:val="00AF1C5D"/>
    <w:rsid w:val="00AF341E"/>
    <w:rsid w:val="00AF42D7"/>
    <w:rsid w:val="00B006FE"/>
    <w:rsid w:val="00B007CB"/>
    <w:rsid w:val="00B01CBE"/>
    <w:rsid w:val="00B02AA9"/>
    <w:rsid w:val="00B02FA3"/>
    <w:rsid w:val="00B05084"/>
    <w:rsid w:val="00B066B0"/>
    <w:rsid w:val="00B157F9"/>
    <w:rsid w:val="00B20256"/>
    <w:rsid w:val="00B20D09"/>
    <w:rsid w:val="00B24C1A"/>
    <w:rsid w:val="00B2763F"/>
    <w:rsid w:val="00B27AAC"/>
    <w:rsid w:val="00B30929"/>
    <w:rsid w:val="00B372AA"/>
    <w:rsid w:val="00B40445"/>
    <w:rsid w:val="00B409E0"/>
    <w:rsid w:val="00B41888"/>
    <w:rsid w:val="00B45A52"/>
    <w:rsid w:val="00B46175"/>
    <w:rsid w:val="00B541F4"/>
    <w:rsid w:val="00B548B7"/>
    <w:rsid w:val="00B664C7"/>
    <w:rsid w:val="00B739F6"/>
    <w:rsid w:val="00B81A6C"/>
    <w:rsid w:val="00B85DE5"/>
    <w:rsid w:val="00B90727"/>
    <w:rsid w:val="00B90F73"/>
    <w:rsid w:val="00B93B59"/>
    <w:rsid w:val="00B9406A"/>
    <w:rsid w:val="00B94B76"/>
    <w:rsid w:val="00BA2280"/>
    <w:rsid w:val="00BA2A08"/>
    <w:rsid w:val="00BA56D2"/>
    <w:rsid w:val="00BA76E0"/>
    <w:rsid w:val="00BB0257"/>
    <w:rsid w:val="00BB22AB"/>
    <w:rsid w:val="00BB2A25"/>
    <w:rsid w:val="00BB51E9"/>
    <w:rsid w:val="00BC0FDC"/>
    <w:rsid w:val="00BC3053"/>
    <w:rsid w:val="00BC4D2E"/>
    <w:rsid w:val="00BD48AC"/>
    <w:rsid w:val="00BD5F1A"/>
    <w:rsid w:val="00BD7324"/>
    <w:rsid w:val="00BE1234"/>
    <w:rsid w:val="00BE2FA6"/>
    <w:rsid w:val="00BE333F"/>
    <w:rsid w:val="00BE7406"/>
    <w:rsid w:val="00BE7603"/>
    <w:rsid w:val="00BF3279"/>
    <w:rsid w:val="00BF65CA"/>
    <w:rsid w:val="00BF74C7"/>
    <w:rsid w:val="00C015F1"/>
    <w:rsid w:val="00C01F33"/>
    <w:rsid w:val="00C02CC6"/>
    <w:rsid w:val="00C040F7"/>
    <w:rsid w:val="00C044AB"/>
    <w:rsid w:val="00C05706"/>
    <w:rsid w:val="00C07377"/>
    <w:rsid w:val="00C10478"/>
    <w:rsid w:val="00C11EFF"/>
    <w:rsid w:val="00C12107"/>
    <w:rsid w:val="00C14D4B"/>
    <w:rsid w:val="00C154BB"/>
    <w:rsid w:val="00C279B5"/>
    <w:rsid w:val="00C27C45"/>
    <w:rsid w:val="00C32FD2"/>
    <w:rsid w:val="00C3719D"/>
    <w:rsid w:val="00C37C74"/>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6299"/>
    <w:rsid w:val="00C9027A"/>
    <w:rsid w:val="00C9068E"/>
    <w:rsid w:val="00C93814"/>
    <w:rsid w:val="00C93C4B"/>
    <w:rsid w:val="00C944AB"/>
    <w:rsid w:val="00C95B40"/>
    <w:rsid w:val="00CA1ED8"/>
    <w:rsid w:val="00CA71F9"/>
    <w:rsid w:val="00CB1F63"/>
    <w:rsid w:val="00CB43F2"/>
    <w:rsid w:val="00CB7170"/>
    <w:rsid w:val="00CC040E"/>
    <w:rsid w:val="00CC111F"/>
    <w:rsid w:val="00CC2011"/>
    <w:rsid w:val="00CC2D2B"/>
    <w:rsid w:val="00CC3EA0"/>
    <w:rsid w:val="00CC7B45"/>
    <w:rsid w:val="00CD1188"/>
    <w:rsid w:val="00CD2ED1"/>
    <w:rsid w:val="00CD337B"/>
    <w:rsid w:val="00CE0424"/>
    <w:rsid w:val="00CE2D6A"/>
    <w:rsid w:val="00CE7561"/>
    <w:rsid w:val="00CF1354"/>
    <w:rsid w:val="00CF3B1F"/>
    <w:rsid w:val="00CF3BF6"/>
    <w:rsid w:val="00CF625B"/>
    <w:rsid w:val="00CF687E"/>
    <w:rsid w:val="00D0349B"/>
    <w:rsid w:val="00D10249"/>
    <w:rsid w:val="00D115C3"/>
    <w:rsid w:val="00D11897"/>
    <w:rsid w:val="00D13064"/>
    <w:rsid w:val="00D13135"/>
    <w:rsid w:val="00D13E4E"/>
    <w:rsid w:val="00D239A7"/>
    <w:rsid w:val="00D23F47"/>
    <w:rsid w:val="00D36E71"/>
    <w:rsid w:val="00D37D87"/>
    <w:rsid w:val="00D40B33"/>
    <w:rsid w:val="00D4318F"/>
    <w:rsid w:val="00D438BF"/>
    <w:rsid w:val="00D440F8"/>
    <w:rsid w:val="00D519ED"/>
    <w:rsid w:val="00D546FF"/>
    <w:rsid w:val="00D55AD5"/>
    <w:rsid w:val="00D576CA"/>
    <w:rsid w:val="00D61AF5"/>
    <w:rsid w:val="00D652B5"/>
    <w:rsid w:val="00D66155"/>
    <w:rsid w:val="00D67B79"/>
    <w:rsid w:val="00D708B0"/>
    <w:rsid w:val="00D77B1D"/>
    <w:rsid w:val="00D8021F"/>
    <w:rsid w:val="00D80383"/>
    <w:rsid w:val="00D823C6"/>
    <w:rsid w:val="00D8327F"/>
    <w:rsid w:val="00D860EB"/>
    <w:rsid w:val="00D86CA3"/>
    <w:rsid w:val="00D871CE"/>
    <w:rsid w:val="00D9196D"/>
    <w:rsid w:val="00D92982"/>
    <w:rsid w:val="00DA305E"/>
    <w:rsid w:val="00DA5417"/>
    <w:rsid w:val="00DA56E8"/>
    <w:rsid w:val="00DB0A9F"/>
    <w:rsid w:val="00DB377D"/>
    <w:rsid w:val="00DB3B3C"/>
    <w:rsid w:val="00DC2D36"/>
    <w:rsid w:val="00DC53EF"/>
    <w:rsid w:val="00DD689F"/>
    <w:rsid w:val="00DE5608"/>
    <w:rsid w:val="00DE58D0"/>
    <w:rsid w:val="00DE654F"/>
    <w:rsid w:val="00DF0B6E"/>
    <w:rsid w:val="00DF15E0"/>
    <w:rsid w:val="00DF37A0"/>
    <w:rsid w:val="00DF68B7"/>
    <w:rsid w:val="00E0106F"/>
    <w:rsid w:val="00E110E7"/>
    <w:rsid w:val="00E11B20"/>
    <w:rsid w:val="00E142E7"/>
    <w:rsid w:val="00E17FA2"/>
    <w:rsid w:val="00E22330"/>
    <w:rsid w:val="00E30087"/>
    <w:rsid w:val="00E30B5A"/>
    <w:rsid w:val="00E3123D"/>
    <w:rsid w:val="00E31461"/>
    <w:rsid w:val="00E31D43"/>
    <w:rsid w:val="00E32608"/>
    <w:rsid w:val="00E33B71"/>
    <w:rsid w:val="00E34188"/>
    <w:rsid w:val="00E34B6E"/>
    <w:rsid w:val="00E35559"/>
    <w:rsid w:val="00E3723A"/>
    <w:rsid w:val="00E37860"/>
    <w:rsid w:val="00E40A18"/>
    <w:rsid w:val="00E446F1"/>
    <w:rsid w:val="00E46886"/>
    <w:rsid w:val="00E46D72"/>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DCE"/>
    <w:rsid w:val="00EC24D5"/>
    <w:rsid w:val="00EC27C6"/>
    <w:rsid w:val="00EC4207"/>
    <w:rsid w:val="00EC5653"/>
    <w:rsid w:val="00EC71CE"/>
    <w:rsid w:val="00ED1006"/>
    <w:rsid w:val="00ED38C6"/>
    <w:rsid w:val="00ED428F"/>
    <w:rsid w:val="00EF0813"/>
    <w:rsid w:val="00EF18FE"/>
    <w:rsid w:val="00EF21E3"/>
    <w:rsid w:val="00EF5787"/>
    <w:rsid w:val="00EF580D"/>
    <w:rsid w:val="00EF60D0"/>
    <w:rsid w:val="00F0528D"/>
    <w:rsid w:val="00F06C67"/>
    <w:rsid w:val="00F06DFD"/>
    <w:rsid w:val="00F071D1"/>
    <w:rsid w:val="00F07533"/>
    <w:rsid w:val="00F10629"/>
    <w:rsid w:val="00F15FA5"/>
    <w:rsid w:val="00F209B7"/>
    <w:rsid w:val="00F2376F"/>
    <w:rsid w:val="00F23A93"/>
    <w:rsid w:val="00F243D8"/>
    <w:rsid w:val="00F30828"/>
    <w:rsid w:val="00F313D6"/>
    <w:rsid w:val="00F40F0C"/>
    <w:rsid w:val="00F451FF"/>
    <w:rsid w:val="00F4766C"/>
    <w:rsid w:val="00F5060E"/>
    <w:rsid w:val="00F507D1"/>
    <w:rsid w:val="00F519CE"/>
    <w:rsid w:val="00F51ADA"/>
    <w:rsid w:val="00F60203"/>
    <w:rsid w:val="00F607C5"/>
    <w:rsid w:val="00F60DEA"/>
    <w:rsid w:val="00F6302A"/>
    <w:rsid w:val="00F63950"/>
    <w:rsid w:val="00F63CA1"/>
    <w:rsid w:val="00F64C2B"/>
    <w:rsid w:val="00F651BE"/>
    <w:rsid w:val="00F67F53"/>
    <w:rsid w:val="00F703BE"/>
    <w:rsid w:val="00F71F69"/>
    <w:rsid w:val="00F72B72"/>
    <w:rsid w:val="00F74BB9"/>
    <w:rsid w:val="00F75582"/>
    <w:rsid w:val="00F76EFA"/>
    <w:rsid w:val="00F804BE"/>
    <w:rsid w:val="00F817CE"/>
    <w:rsid w:val="00F83F38"/>
    <w:rsid w:val="00F8456C"/>
    <w:rsid w:val="00F859D8"/>
    <w:rsid w:val="00F868F5"/>
    <w:rsid w:val="00F9056A"/>
    <w:rsid w:val="00F90F8D"/>
    <w:rsid w:val="00F92782"/>
    <w:rsid w:val="00F93AA9"/>
    <w:rsid w:val="00F96985"/>
    <w:rsid w:val="00F97838"/>
    <w:rsid w:val="00F97E18"/>
    <w:rsid w:val="00FA2BB3"/>
    <w:rsid w:val="00FA44B3"/>
    <w:rsid w:val="00FA4722"/>
    <w:rsid w:val="00FA5E5F"/>
    <w:rsid w:val="00FA6B8E"/>
    <w:rsid w:val="00FB4C80"/>
    <w:rsid w:val="00FB5D96"/>
    <w:rsid w:val="00FB6A6A"/>
    <w:rsid w:val="00FC0DF8"/>
    <w:rsid w:val="00FC7429"/>
    <w:rsid w:val="00FD07F6"/>
    <w:rsid w:val="00FD1EC8"/>
    <w:rsid w:val="00FD47ED"/>
    <w:rsid w:val="00FD74DB"/>
    <w:rsid w:val="00FD7660"/>
    <w:rsid w:val="00FE0655"/>
    <w:rsid w:val="00FE2365"/>
    <w:rsid w:val="00FE37D7"/>
    <w:rsid w:val="00FE4C7B"/>
    <w:rsid w:val="00FE7336"/>
    <w:rsid w:val="00FE787C"/>
    <w:rsid w:val="00FF45A5"/>
    <w:rsid w:val="00FF5C91"/>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45C1D259-0041-4746-BEC4-C45DFE425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F68B7"/>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F68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68B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36dff59-e130-4d54-8d0d-11652f5b7f6e"/>
    <ds:schemaRef ds:uri="http://purl.org/dc/terms/"/>
    <ds:schemaRef ds:uri="681062ae-1c68-41fd-9342-5dca09a94724"/>
    <ds:schemaRef ds:uri="http://www.w3.org/XML/1998/namespace"/>
    <ds:schemaRef ds:uri="http://purl.org/dc/dcmityp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6710989D-F357-48A7-8384-67ECD6717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40782D-BD31-4B66-8E14-4C002F0E3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1040</Words>
  <Characters>8429</Characters>
  <Application>Microsoft Office Word</Application>
  <DocSecurity>0</DocSecurity>
  <Lines>70</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9451</CharactersWithSpaces>
  <SharedDoc>false</SharedDoc>
  <HLinks>
    <vt:vector size="66" baseType="variant">
      <vt:variant>
        <vt:i4>1114172</vt:i4>
      </vt:variant>
      <vt:variant>
        <vt:i4>44</vt:i4>
      </vt:variant>
      <vt:variant>
        <vt:i4>0</vt:i4>
      </vt:variant>
      <vt:variant>
        <vt:i4>5</vt:i4>
      </vt:variant>
      <vt:variant>
        <vt:lpwstr/>
      </vt:variant>
      <vt:variant>
        <vt:lpwstr>_Toc46823032</vt:lpwstr>
      </vt:variant>
      <vt:variant>
        <vt:i4>1179708</vt:i4>
      </vt:variant>
      <vt:variant>
        <vt:i4>41</vt:i4>
      </vt:variant>
      <vt:variant>
        <vt:i4>0</vt:i4>
      </vt:variant>
      <vt:variant>
        <vt:i4>5</vt:i4>
      </vt:variant>
      <vt:variant>
        <vt:lpwstr/>
      </vt:variant>
      <vt:variant>
        <vt:lpwstr>_Toc46823031</vt:lpwstr>
      </vt:variant>
      <vt:variant>
        <vt:i4>1245244</vt:i4>
      </vt:variant>
      <vt:variant>
        <vt:i4>38</vt:i4>
      </vt:variant>
      <vt:variant>
        <vt:i4>0</vt:i4>
      </vt:variant>
      <vt:variant>
        <vt:i4>5</vt:i4>
      </vt:variant>
      <vt:variant>
        <vt:lpwstr/>
      </vt:variant>
      <vt:variant>
        <vt:lpwstr>_Toc46823030</vt:lpwstr>
      </vt:variant>
      <vt:variant>
        <vt:i4>1703997</vt:i4>
      </vt:variant>
      <vt:variant>
        <vt:i4>35</vt:i4>
      </vt:variant>
      <vt:variant>
        <vt:i4>0</vt:i4>
      </vt:variant>
      <vt:variant>
        <vt:i4>5</vt:i4>
      </vt:variant>
      <vt:variant>
        <vt:lpwstr/>
      </vt:variant>
      <vt:variant>
        <vt:lpwstr>_Toc46823029</vt:lpwstr>
      </vt:variant>
      <vt:variant>
        <vt:i4>1769533</vt:i4>
      </vt:variant>
      <vt:variant>
        <vt:i4>29</vt:i4>
      </vt:variant>
      <vt:variant>
        <vt:i4>0</vt:i4>
      </vt:variant>
      <vt:variant>
        <vt:i4>5</vt:i4>
      </vt:variant>
      <vt:variant>
        <vt:lpwstr/>
      </vt:variant>
      <vt:variant>
        <vt:lpwstr>_Toc46823028</vt:lpwstr>
      </vt:variant>
      <vt:variant>
        <vt:i4>1310781</vt:i4>
      </vt:variant>
      <vt:variant>
        <vt:i4>26</vt:i4>
      </vt:variant>
      <vt:variant>
        <vt:i4>0</vt:i4>
      </vt:variant>
      <vt:variant>
        <vt:i4>5</vt:i4>
      </vt:variant>
      <vt:variant>
        <vt:lpwstr/>
      </vt:variant>
      <vt:variant>
        <vt:lpwstr>_Toc46823027</vt:lpwstr>
      </vt:variant>
      <vt:variant>
        <vt:i4>1376317</vt:i4>
      </vt:variant>
      <vt:variant>
        <vt:i4>23</vt:i4>
      </vt:variant>
      <vt:variant>
        <vt:i4>0</vt:i4>
      </vt:variant>
      <vt:variant>
        <vt:i4>5</vt:i4>
      </vt:variant>
      <vt:variant>
        <vt:lpwstr/>
      </vt:variant>
      <vt:variant>
        <vt:lpwstr>_Toc46823026</vt:lpwstr>
      </vt:variant>
      <vt:variant>
        <vt:i4>1441853</vt:i4>
      </vt:variant>
      <vt:variant>
        <vt:i4>20</vt:i4>
      </vt:variant>
      <vt:variant>
        <vt:i4>0</vt:i4>
      </vt:variant>
      <vt:variant>
        <vt:i4>5</vt:i4>
      </vt:variant>
      <vt:variant>
        <vt:lpwstr/>
      </vt:variant>
      <vt:variant>
        <vt:lpwstr>_Toc46823025</vt:lpwstr>
      </vt:variant>
      <vt:variant>
        <vt:i4>1507389</vt:i4>
      </vt:variant>
      <vt:variant>
        <vt:i4>17</vt:i4>
      </vt:variant>
      <vt:variant>
        <vt:i4>0</vt:i4>
      </vt:variant>
      <vt:variant>
        <vt:i4>5</vt:i4>
      </vt:variant>
      <vt:variant>
        <vt:lpwstr/>
      </vt:variant>
      <vt:variant>
        <vt:lpwstr>_Toc46823024</vt:lpwstr>
      </vt:variant>
      <vt:variant>
        <vt:i4>7667731</vt:i4>
      </vt:variant>
      <vt:variant>
        <vt:i4>3</vt:i4>
      </vt:variant>
      <vt:variant>
        <vt:i4>0</vt:i4>
      </vt:variant>
      <vt:variant>
        <vt:i4>5</vt:i4>
      </vt:variant>
      <vt:variant>
        <vt:lpwstr>mailto:gino.masini@ericsson.com</vt:lpwstr>
      </vt:variant>
      <vt:variant>
        <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Helka-Liina Maattanen</cp:lastModifiedBy>
  <cp:revision>2</cp:revision>
  <cp:lastPrinted>2008-02-01T02:09:00Z</cp:lastPrinted>
  <dcterms:created xsi:type="dcterms:W3CDTF">2020-08-06T14:17:00Z</dcterms:created>
  <dcterms:modified xsi:type="dcterms:W3CDTF">2020-08-06T14:17:00Z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ies>
</file>